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8"/>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ascii="GWZT-EN" w:hAnsiTheme="minorEastAsia" w:eastAsiaTheme="minorEastAsia" w:cstheme="minorEastAsia"/>
          <w:sz w:val="44"/>
          <w:szCs w:val="44"/>
          <w:lang w:val="en-US" w:eastAsia="zh-CN"/>
        </w:rPr>
        <w:t>幽门螺杆菌检测配套材料（集气卡）（耗材）</w:t>
      </w:r>
      <w:r>
        <w:rPr>
          <w:rFonts w:hint="eastAsia" w:hAnsiTheme="minorEastAsia" w:eastAsiaTheme="minorEastAsia" w:cstheme="minorEastAsia"/>
          <w:sz w:val="44"/>
          <w:szCs w:val="44"/>
          <w:lang w:val="en-US" w:eastAsia="zh-CN"/>
        </w:rPr>
        <w:t>的</w:t>
      </w:r>
      <w:r>
        <w:rPr>
          <w:rFonts w:hint="eastAsia" w:ascii="GWZT-EN" w:hAnsiTheme="minorEastAsia" w:eastAsiaTheme="minorEastAsia" w:cstheme="minorEastAsia"/>
          <w:sz w:val="44"/>
          <w:szCs w:val="44"/>
          <w:lang w:val="en-US" w:eastAsia="zh-CN"/>
        </w:rPr>
        <w:t>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r>
              <w:rPr>
                <w:rFonts w:hint="eastAsia" w:ascii="仿宋" w:hAnsi="仿宋" w:eastAsia="仿宋" w:cs="仿宋"/>
                <w:b w:val="0"/>
                <w:bCs w:val="0"/>
                <w:sz w:val="32"/>
                <w:szCs w:val="32"/>
                <w:lang w:val="en-US" w:eastAsia="zh-CN"/>
              </w:rPr>
              <w:t>幽门螺杆菌检测配套材料（集气卡）</w:t>
            </w: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（耗材）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按需</w:t>
            </w:r>
            <w:r>
              <w:rPr>
                <w:rFonts w:hint="eastAsia" w:asciiTheme="minorEastAsia" w:hAnsiTheme="minorEastAsia" w:eastAsiaTheme="minorEastAsia" w:cstheme="minorEastAsia"/>
                <w:b w:val="0"/>
                <w:bCs w:val="0"/>
                <w:color w:val="000000"/>
                <w:sz w:val="24"/>
                <w:szCs w:val="24"/>
                <w:lang w:val="en-US" w:eastAsia="zh-CN"/>
              </w:rPr>
              <w:t>采购</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1、所提供卡片和胶囊分别需要27位国家医保编码。</w:t>
            </w:r>
          </w:p>
          <w:p w14:paraId="7C0991D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2、提供近3家公立三级医院同品牌产品有效业绩证明；</w:t>
            </w:r>
          </w:p>
          <w:p w14:paraId="2F72836E">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auto"/>
                <w:sz w:val="24"/>
                <w:szCs w:val="24"/>
                <w:lang w:val="en-US" w:eastAsia="zh-CN"/>
              </w:rPr>
              <w:t>3、因供货不及时或者产品质量原因，医院有权终止合同</w:t>
            </w:r>
            <w:r>
              <w:rPr>
                <w:rFonts w:hint="eastAsia" w:asciiTheme="minorEastAsia" w:hAnsiTheme="minorEastAsia" w:eastAsiaTheme="minorEastAsia" w:cstheme="minorEastAsia"/>
                <w:b w:val="0"/>
                <w:color w:val="000000"/>
                <w:sz w:val="24"/>
                <w:szCs w:val="24"/>
                <w:lang w:val="en-US" w:eastAsia="zh-CN"/>
              </w:rPr>
              <w:t>；</w:t>
            </w:r>
          </w:p>
          <w:p w14:paraId="763D61A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4、为保证临床使用需求，中标提供第一批产品后，科室使用后组织产品使用反馈，科室可要求供应商更换同品牌不同规格型号产品，若临床使用反馈不合格，医院有权终止合同；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6、合同签订后，</w:t>
            </w:r>
            <w:r>
              <w:rPr>
                <w:rFonts w:hint="eastAsia" w:asciiTheme="minorEastAsia" w:hAnsiTheme="minorEastAsia" w:eastAsiaTheme="minorEastAsia" w:cstheme="minorEastAsia"/>
                <w:b w:val="0"/>
                <w:bCs w:val="0"/>
                <w:color w:val="auto"/>
                <w:sz w:val="24"/>
                <w:szCs w:val="24"/>
                <w:lang w:val="en-US" w:eastAsia="zh-CN"/>
              </w:rPr>
              <w:t>成交</w:t>
            </w:r>
            <w:r>
              <w:rPr>
                <w:rFonts w:hint="eastAsia" w:asciiTheme="minorEastAsia" w:hAnsiTheme="minorEastAsia" w:eastAsiaTheme="minorEastAsia" w:cstheme="minorEastAsia"/>
                <w:b w:val="0"/>
                <w:color w:val="auto"/>
                <w:sz w:val="24"/>
                <w:szCs w:val="24"/>
                <w:lang w:val="en-US" w:eastAsia="zh-CN"/>
              </w:rPr>
              <w:t>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7、遇国家及省、市级带量采购政策调整，应根据相关要求及时调整价格；</w:t>
            </w:r>
          </w:p>
          <w:p w14:paraId="368D5833">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 xml:space="preserve">8、投标供应商须承担所投产品相对应的配套设备的维护保养及相关费用， </w:t>
            </w:r>
            <w:r>
              <w:rPr>
                <w:rFonts w:hint="default" w:asciiTheme="minorEastAsia" w:hAnsiTheme="minorEastAsia" w:eastAsiaTheme="minorEastAsia" w:cstheme="minorEastAsia"/>
                <w:b w:val="0"/>
                <w:color w:val="000000"/>
                <w:sz w:val="24"/>
                <w:szCs w:val="24"/>
                <w:lang w:val="en-US" w:eastAsia="zh-CN"/>
              </w:rPr>
              <w:t>确保设备在配送期</w:t>
            </w:r>
            <w:r>
              <w:rPr>
                <w:rFonts w:hint="default" w:asciiTheme="minorEastAsia" w:hAnsiTheme="minorEastAsia" w:eastAsiaTheme="minorEastAsia" w:cstheme="minorEastAsia"/>
                <w:b w:val="0"/>
                <w:color w:val="auto"/>
                <w:sz w:val="24"/>
                <w:szCs w:val="24"/>
                <w:lang w:val="en-US" w:eastAsia="zh-CN"/>
              </w:rPr>
              <w:t>内正常使用；提供设备定期校准和纸质版报告；</w:t>
            </w:r>
            <w:r>
              <w:rPr>
                <w:rFonts w:hint="default" w:asciiTheme="minorEastAsia" w:hAnsiTheme="minorEastAsia" w:eastAsiaTheme="minorEastAsia" w:cstheme="minorEastAsia"/>
                <w:b w:val="0"/>
                <w:color w:val="000000"/>
                <w:sz w:val="24"/>
                <w:szCs w:val="24"/>
                <w:lang w:val="en-US" w:eastAsia="zh-CN"/>
              </w:rPr>
              <w:t>及时提供最新的免费的软件升级服务。如设备发生故障，48 小时内无法修复，中标供应商须 在采购人规定的时间内提供不低于原有机器设备档次的备用机器，以</w:t>
            </w:r>
            <w:r>
              <w:rPr>
                <w:rFonts w:hint="default" w:asciiTheme="minorEastAsia" w:hAnsiTheme="minorEastAsia" w:eastAsiaTheme="minorEastAsia" w:cstheme="minorEastAsia"/>
                <w:b w:val="0"/>
                <w:color w:val="auto"/>
                <w:sz w:val="24"/>
                <w:szCs w:val="24"/>
                <w:lang w:val="en-US" w:eastAsia="zh-CN"/>
              </w:rPr>
              <w:t>保障临床诊 疗工作；提供配套设备终身售后服务支持，并及时提供最新的免费的软件升级服务</w:t>
            </w:r>
            <w:r>
              <w:rPr>
                <w:rFonts w:hint="eastAsia" w:asciiTheme="minorEastAsia" w:hAnsiTheme="minorEastAsia" w:eastAsiaTheme="minorEastAsia" w:cstheme="minorEastAsia"/>
                <w:b w:val="0"/>
                <w:color w:val="auto"/>
                <w:sz w:val="24"/>
                <w:szCs w:val="24"/>
                <w:lang w:val="en-US" w:eastAsia="zh-CN"/>
              </w:rPr>
              <w:t>；</w:t>
            </w:r>
          </w:p>
          <w:p w14:paraId="5DFA194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9、投标供应商所投产品有效期</w:t>
            </w:r>
            <w:r>
              <w:rPr>
                <w:rFonts w:hint="eastAsia" w:asciiTheme="minorEastAsia" w:hAnsiTheme="minorEastAsia" w:eastAsiaTheme="minorEastAsia" w:cstheme="minorEastAsia"/>
                <w:b w:val="0"/>
                <w:color w:val="auto"/>
                <w:sz w:val="24"/>
                <w:szCs w:val="24"/>
                <w:lang w:val="en-US" w:eastAsia="zh-CN"/>
              </w:rPr>
              <w:t>不得少于整个产品效期的</w:t>
            </w:r>
            <w:r>
              <w:rPr>
                <w:rFonts w:hint="eastAsia" w:asciiTheme="minorEastAsia" w:hAnsiTheme="minorEastAsia" w:eastAsiaTheme="minorEastAsia" w:cstheme="minorEastAsia"/>
                <w:b/>
                <w:bCs/>
                <w:color w:val="000000"/>
                <w:sz w:val="24"/>
                <w:szCs w:val="24"/>
                <w:lang w:val="en-US" w:eastAsia="zh-CN"/>
              </w:rPr>
              <w:t>2/3</w:t>
            </w:r>
            <w:r>
              <w:rPr>
                <w:rFonts w:hint="eastAsia" w:asciiTheme="minorEastAsia" w:hAnsiTheme="minorEastAsia" w:eastAsiaTheme="minorEastAsia" w:cstheme="minorEastAsia"/>
                <w:b w:val="0"/>
                <w:color w:val="000000"/>
                <w:sz w:val="24"/>
                <w:szCs w:val="24"/>
                <w:lang w:val="en-US" w:eastAsia="zh-CN"/>
              </w:rPr>
              <w:t xml:space="preserve">；在产品使 </w:t>
            </w:r>
            <w:r>
              <w:rPr>
                <w:rFonts w:hint="default" w:asciiTheme="minorEastAsia" w:hAnsiTheme="minorEastAsia" w:eastAsiaTheme="minorEastAsia" w:cstheme="minorEastAsia"/>
                <w:b w:val="0"/>
                <w:color w:val="000000"/>
                <w:sz w:val="24"/>
                <w:szCs w:val="24"/>
                <w:lang w:val="en-US" w:eastAsia="zh-CN"/>
              </w:rPr>
              <w:t>用过程中，确因产品质量原因导致异常情况，中标人应及时邀请厂家技术人员解决问题，费用由中标人负责。因产品质量问题引起的医疗事故、医疗纠纷与一切 后果，将由中标人承担所有的责任和费</w:t>
            </w:r>
            <w:r>
              <w:rPr>
                <w:rFonts w:hint="eastAsia" w:asciiTheme="minorEastAsia" w:hAnsiTheme="minorEastAsia" w:eastAsiaTheme="minorEastAsia" w:cstheme="minorEastAsia"/>
                <w:b w:val="0"/>
                <w:color w:val="000000"/>
                <w:sz w:val="24"/>
                <w:szCs w:val="24"/>
                <w:lang w:val="en-US" w:eastAsia="zh-CN"/>
              </w:rPr>
              <w:t>用；</w:t>
            </w:r>
          </w:p>
          <w:p w14:paraId="08A56C0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10、</w:t>
            </w:r>
            <w:r>
              <w:rPr>
                <w:rFonts w:hint="default" w:asciiTheme="minorEastAsia" w:hAnsiTheme="minorEastAsia" w:eastAsiaTheme="minorEastAsia" w:cstheme="minorEastAsia"/>
                <w:b w:val="0"/>
                <w:color w:val="000000"/>
                <w:sz w:val="24"/>
                <w:szCs w:val="24"/>
                <w:lang w:val="en-US" w:eastAsia="zh-CN"/>
              </w:rPr>
              <w:t>投标供应商所投产品应为推向市场的标准型产品，产品</w:t>
            </w:r>
            <w:r>
              <w:rPr>
                <w:rFonts w:hint="default" w:asciiTheme="minorEastAsia" w:hAnsiTheme="minorEastAsia" w:eastAsiaTheme="minorEastAsia" w:cstheme="minorEastAsia"/>
                <w:b w:val="0"/>
                <w:color w:val="auto"/>
                <w:sz w:val="24"/>
                <w:szCs w:val="24"/>
                <w:lang w:val="en-US" w:eastAsia="zh-CN"/>
              </w:rPr>
              <w:t>符合国家标准，性能稳定、可靠，确保临床使用安全有效。进口产品包装（包括大包装、小包装等）必须附有名称、批号、产地、规格、有效期等国家规定的中文标识</w:t>
            </w:r>
            <w:r>
              <w:rPr>
                <w:rFonts w:hint="eastAsia" w:asciiTheme="minorEastAsia" w:hAnsiTheme="minorEastAsia" w:eastAsiaTheme="minorEastAsia" w:cstheme="minorEastAsia"/>
                <w:b w:val="0"/>
                <w:color w:val="auto"/>
                <w:sz w:val="24"/>
                <w:szCs w:val="24"/>
                <w:lang w:val="en-US" w:eastAsia="zh-CN"/>
              </w:rPr>
              <w:t>；</w:t>
            </w:r>
            <w:r>
              <w:rPr>
                <w:rFonts w:hint="default" w:asciiTheme="minorEastAsia" w:hAnsiTheme="minorEastAsia" w:eastAsiaTheme="minorEastAsia" w:cstheme="minorEastAsia"/>
                <w:b w:val="0"/>
                <w:color w:val="auto"/>
                <w:sz w:val="24"/>
                <w:szCs w:val="24"/>
                <w:lang w:val="en-US" w:eastAsia="zh-CN"/>
              </w:rPr>
              <w:t xml:space="preserve"> </w:t>
            </w:r>
          </w:p>
          <w:p w14:paraId="12300B5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11、</w:t>
            </w:r>
            <w:r>
              <w:rPr>
                <w:rFonts w:hint="default" w:asciiTheme="minorEastAsia" w:hAnsiTheme="minorEastAsia" w:eastAsiaTheme="minorEastAsia" w:cstheme="minorEastAsia"/>
                <w:b w:val="0"/>
                <w:color w:val="auto"/>
                <w:sz w:val="24"/>
                <w:szCs w:val="24"/>
                <w:lang w:val="en-US" w:eastAsia="zh-CN"/>
              </w:rPr>
              <w:t>免费质保期：使用消耗前的全生命周期</w:t>
            </w:r>
            <w:r>
              <w:rPr>
                <w:rFonts w:hint="eastAsia" w:asciiTheme="minorEastAsia" w:hAnsiTheme="minorEastAsia" w:eastAsiaTheme="minorEastAsia" w:cstheme="minorEastAsia"/>
                <w:b w:val="0"/>
                <w:color w:val="auto"/>
                <w:sz w:val="24"/>
                <w:szCs w:val="24"/>
                <w:lang w:val="en-US" w:eastAsia="zh-CN"/>
              </w:rPr>
              <w:t>；</w:t>
            </w:r>
          </w:p>
          <w:p w14:paraId="668C0D84">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12、中标供应商需提供产品的完整资料两套。</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二、性能及参数要求</w:t>
            </w:r>
          </w:p>
          <w:p w14:paraId="1ADD7CBB">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★1、适用范围：由于幽门螺旋杆菌检测；</w:t>
            </w:r>
          </w:p>
          <w:p w14:paraId="35D0CC6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★2、与我院</w:t>
            </w:r>
            <w:r>
              <w:rPr>
                <w:rFonts w:hint="default" w:asciiTheme="minorEastAsia" w:hAnsiTheme="minorEastAsia" w:eastAsiaTheme="minorEastAsia" w:cstheme="minorEastAsia"/>
                <w:b w:val="0"/>
                <w:color w:val="auto"/>
                <w:sz w:val="24"/>
                <w:szCs w:val="24"/>
                <w:lang w:val="en-US" w:eastAsia="zh-CN"/>
              </w:rPr>
              <w:t>现有设备相匹配使用（深圳市中核海得威生物科技有限公司幽门螺杆菌测试仪</w:t>
            </w:r>
            <w:r>
              <w:rPr>
                <w:rFonts w:hint="default" w:asciiTheme="minorEastAsia" w:hAnsiTheme="minorEastAsia" w:eastAsiaTheme="minorEastAsia" w:cstheme="minorEastAsia"/>
                <w:b w:val="0"/>
                <w:color w:val="auto"/>
                <w:sz w:val="24"/>
                <w:szCs w:val="24"/>
                <w:highlight w:val="none"/>
                <w:lang w:val="en-US" w:eastAsia="zh-CN"/>
              </w:rPr>
              <w:t>(HUBT-20）</w:t>
            </w:r>
            <w:r>
              <w:rPr>
                <w:rFonts w:hint="eastAsia" w:asciiTheme="minorEastAsia" w:hAnsiTheme="minorEastAsia" w:eastAsiaTheme="minorEastAsia" w:cstheme="minorEastAsia"/>
                <w:b w:val="0"/>
                <w:color w:val="auto"/>
                <w:sz w:val="24"/>
                <w:szCs w:val="24"/>
                <w:lang w:val="en-US" w:eastAsia="zh-CN"/>
              </w:rPr>
              <w:t>或提供不低于该档次设备供我院使用；</w:t>
            </w:r>
          </w:p>
          <w:p w14:paraId="2782B7BD">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3、</w:t>
            </w:r>
            <w:r>
              <w:rPr>
                <w:rFonts w:hint="default" w:asciiTheme="minorEastAsia" w:hAnsiTheme="minorEastAsia" w:eastAsiaTheme="minorEastAsia" w:cstheme="minorEastAsia"/>
                <w:b w:val="0"/>
                <w:color w:val="auto"/>
                <w:sz w:val="24"/>
                <w:szCs w:val="24"/>
                <w:lang w:val="en-US" w:eastAsia="zh-CN"/>
              </w:rPr>
              <w:t xml:space="preserve">幽门螺杆菌检测收集标本专用干式采样卡 </w:t>
            </w:r>
            <w:r>
              <w:rPr>
                <w:rFonts w:hint="eastAsia" w:asciiTheme="minorEastAsia" w:hAnsiTheme="minorEastAsia" w:eastAsiaTheme="minorEastAsia" w:cstheme="minorEastAsia"/>
                <w:b w:val="0"/>
                <w:color w:val="auto"/>
                <w:sz w:val="24"/>
                <w:szCs w:val="24"/>
                <w:lang w:val="en-US" w:eastAsia="zh-CN"/>
              </w:rPr>
              <w:t>；</w:t>
            </w:r>
          </w:p>
          <w:p w14:paraId="63A6BA36">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default" w:asciiTheme="minorEastAsia" w:hAnsiTheme="minorEastAsia" w:eastAsiaTheme="minorEastAsia" w:cstheme="minorEastAsia"/>
                <w:b w:val="0"/>
                <w:color w:val="auto"/>
                <w:sz w:val="24"/>
                <w:szCs w:val="24"/>
                <w:lang w:val="en-US" w:eastAsia="zh-CN"/>
              </w:rPr>
              <w:t>★</w:t>
            </w:r>
            <w:r>
              <w:rPr>
                <w:rFonts w:hint="eastAsia" w:asciiTheme="minorEastAsia" w:hAnsiTheme="minorEastAsia" w:eastAsiaTheme="minorEastAsia" w:cstheme="minorEastAsia"/>
                <w:b w:val="0"/>
                <w:color w:val="auto"/>
                <w:sz w:val="24"/>
                <w:szCs w:val="24"/>
                <w:lang w:val="en-US" w:eastAsia="zh-CN"/>
              </w:rPr>
              <w:t>4、</w:t>
            </w:r>
            <w:r>
              <w:rPr>
                <w:rFonts w:hint="default" w:asciiTheme="minorEastAsia" w:hAnsiTheme="minorEastAsia" w:eastAsiaTheme="minorEastAsia" w:cstheme="minorEastAsia"/>
                <w:b w:val="0"/>
                <w:color w:val="auto"/>
                <w:sz w:val="24"/>
                <w:szCs w:val="24"/>
                <w:lang w:val="en-US" w:eastAsia="zh-CN"/>
              </w:rPr>
              <w:t xml:space="preserve"> 符合国家卫健委下发《健康体检尿素呼气实验质量规范管理》质控要求中尿素[C14]胶囊剂量 </w:t>
            </w:r>
            <w:r>
              <w:rPr>
                <w:rFonts w:hint="eastAsia" w:ascii="宋体" w:hAnsi="宋体" w:eastAsia="宋体" w:cs="宋体"/>
                <w:color w:val="000000"/>
                <w:spacing w:val="0"/>
                <w:sz w:val="28"/>
                <w:szCs w:val="28"/>
                <w:lang w:val="en-US" w:eastAsia="zh-CN"/>
              </w:rPr>
              <w:t>1uCi或0.75uCi</w:t>
            </w:r>
            <w:r>
              <w:rPr>
                <w:rFonts w:hint="default" w:asciiTheme="minorEastAsia" w:hAnsiTheme="minorEastAsia" w:eastAsiaTheme="minorEastAsia" w:cstheme="minorEastAsia"/>
                <w:b w:val="0"/>
                <w:color w:val="auto"/>
                <w:sz w:val="24"/>
                <w:szCs w:val="24"/>
                <w:lang w:val="en-US" w:eastAsia="zh-CN"/>
              </w:rPr>
              <w:t xml:space="preserve"> 的标准</w:t>
            </w:r>
            <w:r>
              <w:rPr>
                <w:rFonts w:hint="eastAsia" w:asciiTheme="minorEastAsia" w:hAnsiTheme="minorEastAsia" w:eastAsiaTheme="minorEastAsia" w:cstheme="minorEastAsia"/>
                <w:b w:val="0"/>
                <w:color w:val="auto"/>
                <w:sz w:val="24"/>
                <w:szCs w:val="24"/>
                <w:lang w:val="en-US" w:eastAsia="zh-CN"/>
              </w:rPr>
              <w:t>；</w:t>
            </w:r>
          </w:p>
          <w:p w14:paraId="3A255ABD">
            <w:pPr>
              <w:keepNext w:val="0"/>
              <w:keepLines w:val="0"/>
              <w:widowControl/>
              <w:suppressLineNumbers w:val="0"/>
              <w:ind w:firstLine="228" w:firstLineChars="100"/>
              <w:jc w:val="left"/>
              <w:rPr>
                <w:rFonts w:hint="default" w:asciiTheme="minorEastAsia" w:hAnsiTheme="minorEastAsia" w:eastAsiaTheme="minorEastAsia" w:cstheme="minorEastAsia"/>
                <w:b w:val="0"/>
                <w:color w:val="auto"/>
                <w:sz w:val="24"/>
                <w:szCs w:val="24"/>
                <w:lang w:val="en-US" w:eastAsia="zh-CN"/>
              </w:rPr>
            </w:pPr>
            <w:r>
              <w:rPr>
                <w:rFonts w:hint="default" w:asciiTheme="minorEastAsia" w:hAnsiTheme="minorEastAsia" w:eastAsiaTheme="minorEastAsia" w:cstheme="minorEastAsia"/>
                <w:b w:val="0"/>
                <w:color w:val="auto"/>
                <w:sz w:val="24"/>
                <w:szCs w:val="24"/>
                <w:lang w:val="en-US" w:eastAsia="zh-CN"/>
              </w:rPr>
              <w:t xml:space="preserve">★5 </w:t>
            </w:r>
            <w:r>
              <w:rPr>
                <w:rFonts w:hint="eastAsia" w:asciiTheme="minorEastAsia" w:hAnsiTheme="minorEastAsia" w:eastAsiaTheme="minorEastAsia" w:cstheme="minorEastAsia"/>
                <w:b w:val="0"/>
                <w:color w:val="auto"/>
                <w:sz w:val="24"/>
                <w:szCs w:val="24"/>
                <w:lang w:val="en-US" w:eastAsia="zh-CN"/>
              </w:rPr>
              <w:t>、集气卡含氢氧化物 200mg±20mg</w:t>
            </w:r>
          </w:p>
          <w:p w14:paraId="2C19D66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6、</w:t>
            </w:r>
            <w:r>
              <w:rPr>
                <w:rFonts w:hint="default" w:asciiTheme="minorEastAsia" w:hAnsiTheme="minorEastAsia" w:eastAsiaTheme="minorEastAsia" w:cstheme="minorEastAsia"/>
                <w:b w:val="0"/>
                <w:color w:val="auto"/>
                <w:sz w:val="24"/>
                <w:szCs w:val="24"/>
                <w:lang w:val="en-US" w:eastAsia="zh-CN"/>
              </w:rPr>
              <w:t>每半年检测仪器厂家提供一次仪器的性能报告</w:t>
            </w:r>
            <w:r>
              <w:rPr>
                <w:rFonts w:hint="eastAsia" w:asciiTheme="minorEastAsia" w:hAnsiTheme="minorEastAsia" w:eastAsiaTheme="minorEastAsia" w:cstheme="minorEastAsia"/>
                <w:b w:val="0"/>
                <w:color w:val="auto"/>
                <w:sz w:val="24"/>
                <w:szCs w:val="24"/>
                <w:lang w:val="en-US" w:eastAsia="zh-CN"/>
              </w:rPr>
              <w:t>；</w:t>
            </w:r>
            <w:r>
              <w:rPr>
                <w:rFonts w:hint="default" w:asciiTheme="minorEastAsia" w:hAnsiTheme="minorEastAsia" w:eastAsiaTheme="minorEastAsia" w:cstheme="minorEastAsia"/>
                <w:b w:val="0"/>
                <w:color w:val="auto"/>
                <w:sz w:val="24"/>
                <w:szCs w:val="24"/>
                <w:lang w:val="en-US" w:eastAsia="zh-CN"/>
              </w:rPr>
              <w:t xml:space="preserve"> </w:t>
            </w:r>
          </w:p>
          <w:p w14:paraId="246492AB">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7、</w:t>
            </w:r>
            <w:r>
              <w:rPr>
                <w:rFonts w:hint="default" w:asciiTheme="minorEastAsia" w:hAnsiTheme="minorEastAsia" w:eastAsiaTheme="minorEastAsia" w:cstheme="minorEastAsia"/>
                <w:b w:val="0"/>
                <w:color w:val="auto"/>
                <w:sz w:val="24"/>
                <w:szCs w:val="24"/>
                <w:lang w:val="en-US" w:eastAsia="zh-CN"/>
              </w:rPr>
              <w:t xml:space="preserve"> 集气卡吹嘴可选一体式和组装式 </w:t>
            </w:r>
            <w:r>
              <w:rPr>
                <w:rFonts w:hint="eastAsia" w:asciiTheme="minorEastAsia" w:hAnsiTheme="minorEastAsia" w:eastAsiaTheme="minorEastAsia" w:cstheme="minorEastAsia"/>
                <w:b w:val="0"/>
                <w:color w:val="auto"/>
                <w:sz w:val="24"/>
                <w:szCs w:val="24"/>
                <w:lang w:val="en-US" w:eastAsia="zh-CN"/>
              </w:rPr>
              <w:t>；</w:t>
            </w:r>
          </w:p>
          <w:p w14:paraId="257B767E">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8</w:t>
            </w:r>
            <w:r>
              <w:rPr>
                <w:rFonts w:hint="default" w:asciiTheme="minorEastAsia" w:hAnsiTheme="minorEastAsia" w:eastAsiaTheme="minorEastAsia" w:cstheme="minorEastAsia"/>
                <w:b w:val="0"/>
                <w:color w:val="auto"/>
                <w:sz w:val="24"/>
                <w:szCs w:val="24"/>
                <w:lang w:val="en-US" w:eastAsia="zh-CN"/>
              </w:rPr>
              <w:t xml:space="preserve"> </w:t>
            </w:r>
            <w:r>
              <w:rPr>
                <w:rFonts w:hint="eastAsia" w:asciiTheme="minorEastAsia" w:hAnsiTheme="minorEastAsia" w:eastAsiaTheme="minorEastAsia" w:cstheme="minorEastAsia"/>
                <w:b w:val="0"/>
                <w:color w:val="auto"/>
                <w:sz w:val="24"/>
                <w:szCs w:val="24"/>
                <w:lang w:val="en-US" w:eastAsia="zh-CN"/>
              </w:rPr>
              <w:t>、</w:t>
            </w:r>
            <w:r>
              <w:rPr>
                <w:rFonts w:hint="default" w:asciiTheme="minorEastAsia" w:hAnsiTheme="minorEastAsia" w:eastAsiaTheme="minorEastAsia" w:cstheme="minorEastAsia"/>
                <w:b w:val="0"/>
                <w:color w:val="auto"/>
                <w:sz w:val="24"/>
                <w:szCs w:val="24"/>
                <w:lang w:val="en-US" w:eastAsia="zh-CN"/>
              </w:rPr>
              <w:t>指示窗指示颜色为黄色</w:t>
            </w:r>
            <w:r>
              <w:rPr>
                <w:rFonts w:hint="eastAsia" w:asciiTheme="minorEastAsia" w:hAnsiTheme="minorEastAsia" w:eastAsiaTheme="minorEastAsia" w:cstheme="minorEastAsia"/>
                <w:b w:val="0"/>
                <w:color w:val="auto"/>
                <w:sz w:val="24"/>
                <w:szCs w:val="24"/>
                <w:lang w:val="en-US" w:eastAsia="zh-CN"/>
              </w:rPr>
              <w:t>或蓝色</w:t>
            </w:r>
            <w:r>
              <w:rPr>
                <w:rFonts w:hint="eastAsia" w:asciiTheme="minorEastAsia" w:hAnsiTheme="minorEastAsia" w:eastAsiaTheme="minorEastAsia" w:cstheme="minorEastAsia"/>
                <w:b w:val="0"/>
                <w:color w:val="auto"/>
                <w:sz w:val="24"/>
                <w:szCs w:val="24"/>
                <w:lang w:val="en-US" w:eastAsia="zh-CN"/>
              </w:rPr>
              <w:t>；</w:t>
            </w:r>
          </w:p>
          <w:p w14:paraId="0DFC26CE">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9、</w:t>
            </w:r>
            <w:r>
              <w:rPr>
                <w:rFonts w:hint="default" w:asciiTheme="minorEastAsia" w:hAnsiTheme="minorEastAsia" w:eastAsiaTheme="minorEastAsia" w:cstheme="minorEastAsia"/>
                <w:b w:val="0"/>
                <w:color w:val="auto"/>
                <w:sz w:val="24"/>
                <w:szCs w:val="24"/>
                <w:lang w:val="en-US" w:eastAsia="zh-CN"/>
              </w:rPr>
              <w:t xml:space="preserve">自带吹气指示处 </w:t>
            </w:r>
            <w:r>
              <w:rPr>
                <w:rFonts w:hint="eastAsia" w:asciiTheme="minorEastAsia" w:hAnsiTheme="minorEastAsia" w:eastAsiaTheme="minorEastAsia" w:cstheme="minorEastAsia"/>
                <w:b w:val="0"/>
                <w:color w:val="auto"/>
                <w:sz w:val="24"/>
                <w:szCs w:val="24"/>
                <w:lang w:val="en-US" w:eastAsia="zh-CN"/>
              </w:rPr>
              <w:t>；</w:t>
            </w:r>
          </w:p>
          <w:p w14:paraId="657BBDC9">
            <w:pPr>
              <w:keepNext w:val="0"/>
              <w:keepLines w:val="0"/>
              <w:pageBreakBefore w:val="0"/>
              <w:widowControl w:val="0"/>
              <w:numPr>
                <w:ilvl w:val="0"/>
                <w:numId w:val="1"/>
              </w:numPr>
              <w:kinsoku/>
              <w:wordWrap/>
              <w:overflowPunct w:val="0"/>
              <w:topLinePunct/>
              <w:autoSpaceDE/>
              <w:autoSpaceDN/>
              <w:bidi w:val="0"/>
              <w:adjustRightInd w:val="0"/>
              <w:snapToGrid/>
              <w:spacing w:line="560" w:lineRule="exact"/>
              <w:ind w:left="0" w:leftChars="0" w:firstLine="0" w:firstLineChars="0"/>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产品限价：</w:t>
            </w:r>
          </w:p>
          <w:p w14:paraId="34C2CD0B">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jc w:val="left"/>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幽门螺杆菌检测配套材料（集气卡），40元/人份；</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5、产品注册证或医疗器械备案凭证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6、联合体投标文件或其它证明材料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w:t>
            </w:r>
            <w:bookmarkStart w:id="0" w:name="_GoBack"/>
            <w:bookmarkEnd w:id="0"/>
            <w:r>
              <w:rPr>
                <w:rFonts w:hint="eastAsia" w:asciiTheme="minorEastAsia" w:hAnsiTheme="minorEastAsia" w:eastAsiaTheme="minorEastAsia" w:cstheme="minorEastAsia"/>
                <w:b/>
                <w:bCs/>
                <w:color w:val="000000"/>
                <w:sz w:val="24"/>
                <w:szCs w:val="24"/>
                <w:lang w:val="en-US" w:eastAsia="zh-CN"/>
              </w:rPr>
              <w:t>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9"/>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0"/>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3、如验收时发现有虚假应标，将上报监管部门。</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panose1 w:val="02020400000000000000"/>
    <w:charset w:val="86"/>
    <w:family w:val="auto"/>
    <w:pitch w:val="default"/>
    <w:sig w:usb0="A00002BF" w:usb1="38CF7CFA" w:usb2="00082016" w:usb3="00000000" w:csb0="00040001" w:csb1="00000000"/>
    <w:embedRegular r:id="rId1" w:fontKey="{A2CFEFAB-6955-41D3-9569-E99C1E092269}"/>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409D57FE-C2FD-4FF9-BE7A-0115140D8D8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E746"/>
    <w:multiLevelType w:val="singleLevel"/>
    <w:tmpl w:val="CBD3E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1E227AE"/>
    <w:rsid w:val="041A1188"/>
    <w:rsid w:val="046441B2"/>
    <w:rsid w:val="06B17456"/>
    <w:rsid w:val="0935436E"/>
    <w:rsid w:val="09D04710"/>
    <w:rsid w:val="0B8855DA"/>
    <w:rsid w:val="0E0662D9"/>
    <w:rsid w:val="10667A54"/>
    <w:rsid w:val="11D82756"/>
    <w:rsid w:val="121D48EB"/>
    <w:rsid w:val="124F7451"/>
    <w:rsid w:val="12C82042"/>
    <w:rsid w:val="143827FB"/>
    <w:rsid w:val="161F1ADD"/>
    <w:rsid w:val="16C21142"/>
    <w:rsid w:val="19BF23C5"/>
    <w:rsid w:val="1C057BD0"/>
    <w:rsid w:val="1D11136A"/>
    <w:rsid w:val="2129610F"/>
    <w:rsid w:val="2253620E"/>
    <w:rsid w:val="225D51DD"/>
    <w:rsid w:val="22BC418E"/>
    <w:rsid w:val="25494FD2"/>
    <w:rsid w:val="258E2BE2"/>
    <w:rsid w:val="27135897"/>
    <w:rsid w:val="29EE2DEE"/>
    <w:rsid w:val="2CB159B6"/>
    <w:rsid w:val="2D823CB1"/>
    <w:rsid w:val="2E6F28D1"/>
    <w:rsid w:val="2F2F733A"/>
    <w:rsid w:val="2F631386"/>
    <w:rsid w:val="2FC84D50"/>
    <w:rsid w:val="303625F7"/>
    <w:rsid w:val="32B53CA7"/>
    <w:rsid w:val="336004DC"/>
    <w:rsid w:val="34026D20"/>
    <w:rsid w:val="34C932E6"/>
    <w:rsid w:val="370B658B"/>
    <w:rsid w:val="3A0F69D6"/>
    <w:rsid w:val="3A347BA7"/>
    <w:rsid w:val="3A5520CA"/>
    <w:rsid w:val="3B8A66F6"/>
    <w:rsid w:val="3BEE3C74"/>
    <w:rsid w:val="3C5E1A95"/>
    <w:rsid w:val="3C712EBB"/>
    <w:rsid w:val="3D581DFE"/>
    <w:rsid w:val="404D3763"/>
    <w:rsid w:val="407968F4"/>
    <w:rsid w:val="418A22EE"/>
    <w:rsid w:val="4320516C"/>
    <w:rsid w:val="43EF4073"/>
    <w:rsid w:val="446E70C1"/>
    <w:rsid w:val="453A628D"/>
    <w:rsid w:val="46352470"/>
    <w:rsid w:val="46CC73B9"/>
    <w:rsid w:val="497465F4"/>
    <w:rsid w:val="4E937CBC"/>
    <w:rsid w:val="502B49B8"/>
    <w:rsid w:val="508267A2"/>
    <w:rsid w:val="50E83EC0"/>
    <w:rsid w:val="525643D0"/>
    <w:rsid w:val="526D5CE7"/>
    <w:rsid w:val="52B07656"/>
    <w:rsid w:val="5777152C"/>
    <w:rsid w:val="57AE0B41"/>
    <w:rsid w:val="59B61F2F"/>
    <w:rsid w:val="5A4E7785"/>
    <w:rsid w:val="5B193F77"/>
    <w:rsid w:val="5CBB1A4D"/>
    <w:rsid w:val="5D695983"/>
    <w:rsid w:val="5D724229"/>
    <w:rsid w:val="6636653D"/>
    <w:rsid w:val="66E90B75"/>
    <w:rsid w:val="6712451C"/>
    <w:rsid w:val="67CE0D8B"/>
    <w:rsid w:val="69567A26"/>
    <w:rsid w:val="6AA933EA"/>
    <w:rsid w:val="6BA276CB"/>
    <w:rsid w:val="6CE40709"/>
    <w:rsid w:val="6E704F7A"/>
    <w:rsid w:val="6EE507C8"/>
    <w:rsid w:val="70716758"/>
    <w:rsid w:val="727162DD"/>
    <w:rsid w:val="73F90F3E"/>
    <w:rsid w:val="73FA1329"/>
    <w:rsid w:val="741E09A4"/>
    <w:rsid w:val="7637176F"/>
    <w:rsid w:val="766A2009"/>
    <w:rsid w:val="77643411"/>
    <w:rsid w:val="78342545"/>
    <w:rsid w:val="7834322A"/>
    <w:rsid w:val="794A0DC8"/>
    <w:rsid w:val="79E63D12"/>
    <w:rsid w:val="7AB1581D"/>
    <w:rsid w:val="7B952448"/>
    <w:rsid w:val="7D935F5F"/>
    <w:rsid w:val="7FD7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customStyle="1" w:styleId="8">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9">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0">
    <w:name w:val="NormalCharacter"/>
    <w:semiHidden/>
    <w:qFormat/>
    <w:uiPriority w:val="0"/>
    <w:rPr>
      <w:rFonts w:ascii="GWZT-EN"/>
    </w:rPr>
  </w:style>
  <w:style w:type="paragraph" w:customStyle="1" w:styleId="11">
    <w:name w:val="表格文字"/>
    <w:basedOn w:val="1"/>
    <w:next w:val="4"/>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1799</Words>
  <Characters>1835</Characters>
  <Lines>0</Lines>
  <Paragraphs>0</Paragraphs>
  <TotalTime>20</TotalTime>
  <ScaleCrop>false</ScaleCrop>
  <LinksUpToDate>false</LinksUpToDate>
  <CharactersWithSpaces>1885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dcterms:modified xsi:type="dcterms:W3CDTF">2025-06-17T07:54:05Z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eyJoZGlkIjoiZWYzZmQ2OTkwYjFjMzc1NGIzYTA4YTc0YTI2M2JlYzMiLCJ1c2VySWQiOiI0NjIxMDQ0ODYifQ==</vt:lpwstr>
  </property>
  <property fmtid="{D5CDD505-2E9C-101B-9397-08002B2CF9AE}" pid="4" name="ICV">
    <vt:lpwstr>1E41F45B90C34CF49A0F221363793BDC_13</vt:lpwstr>
  </property>
</Properties>
</file>