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overflowPunct w:val="0"/>
        <w:topLinePunct/>
        <w:rPr>
          <w:rFonts w:hint="default" w:ascii="GWZT-EN" w:hAnsiTheme="minorEastAsia" w:eastAsiaTheme="minorEastAsia" w:cstheme="minorEastAsia"/>
          <w:sz w:val="44"/>
          <w:szCs w:val="44"/>
          <w:lang w:val="en-US" w:eastAsia="zh-CN"/>
        </w:rPr>
      </w:pPr>
      <w:r>
        <w:rPr>
          <w:rFonts w:hint="eastAsia" w:ascii="GWZT-EN" w:hAnsiTheme="minorEastAsia" w:eastAsiaTheme="minorEastAsia" w:cstheme="minorEastAsia"/>
          <w:sz w:val="44"/>
          <w:szCs w:val="44"/>
        </w:rPr>
        <w:t>黄山市中医医院</w:t>
      </w:r>
      <w:r>
        <w:rPr>
          <w:rFonts w:hint="eastAsia" w:ascii="GWZT-EN" w:hAnsiTheme="minorEastAsia" w:eastAsiaTheme="minorEastAsia" w:cstheme="minorEastAsia"/>
          <w:sz w:val="44"/>
          <w:szCs w:val="44"/>
          <w:lang w:val="en-US" w:eastAsia="zh-CN"/>
        </w:rPr>
        <w:t>中药粉碎机、自动制丸机</w:t>
      </w:r>
    </w:p>
    <w:p>
      <w:pPr>
        <w:pStyle w:val="10"/>
        <w:overflowPunct w:val="0"/>
        <w:topLinePunct/>
        <w:rPr>
          <w:rFonts w:hint="eastAsia" w:ascii="GWZT-EN" w:hAnsiTheme="minorEastAsia" w:eastAsiaTheme="minorEastAsia" w:cstheme="minorEastAsia"/>
          <w:sz w:val="44"/>
          <w:szCs w:val="44"/>
          <w:lang w:val="en-US" w:eastAsia="zh-CN"/>
        </w:rPr>
      </w:pPr>
      <w:r>
        <w:rPr>
          <w:rFonts w:hint="eastAsia" w:ascii="GWZT-EN" w:hAnsiTheme="minorEastAsia" w:eastAsiaTheme="minorEastAsia" w:cstheme="minorEastAsia"/>
          <w:sz w:val="44"/>
          <w:szCs w:val="44"/>
          <w:lang w:val="en-US" w:eastAsia="zh-CN"/>
        </w:rPr>
        <w:t>采购</w:t>
      </w:r>
      <w:r>
        <w:rPr>
          <w:rFonts w:hint="eastAsia" w:hAnsiTheme="minorEastAsia" w:eastAsiaTheme="minorEastAsia" w:cstheme="minorEastAsia"/>
          <w:sz w:val="44"/>
          <w:szCs w:val="44"/>
          <w:lang w:val="en-US" w:eastAsia="zh-CN"/>
        </w:rPr>
        <w:t>（二次</w:t>
      </w:r>
      <w:bookmarkStart w:id="0" w:name="_GoBack"/>
      <w:bookmarkEnd w:id="0"/>
      <w:r>
        <w:rPr>
          <w:rFonts w:hint="eastAsia" w:hAnsiTheme="minorEastAsia" w:eastAsiaTheme="minorEastAsia" w:cstheme="minorEastAsia"/>
          <w:sz w:val="44"/>
          <w:szCs w:val="44"/>
          <w:lang w:val="en-US" w:eastAsia="zh-CN"/>
        </w:rPr>
        <w:t>）</w:t>
      </w:r>
      <w:r>
        <w:rPr>
          <w:rFonts w:hint="eastAsia" w:ascii="GWZT-EN" w:hAnsiTheme="minorEastAsia" w:eastAsiaTheme="minorEastAsia" w:cstheme="minorEastAsia"/>
          <w:sz w:val="44"/>
          <w:szCs w:val="44"/>
          <w:lang w:val="en-US" w:eastAsia="zh-CN"/>
        </w:rPr>
        <w:t>需求</w:t>
      </w:r>
    </w:p>
    <w:p>
      <w:pPr>
        <w:rPr>
          <w:rFonts w:hint="eastAsia"/>
          <w:lang w:val="en-US"/>
        </w:rPr>
      </w:pPr>
    </w:p>
    <w:p>
      <w:pPr>
        <w:pStyle w:val="2"/>
        <w:keepNext w:val="0"/>
        <w:numPr>
          <w:ilvl w:val="0"/>
          <w:numId w:val="1"/>
        </w:numPr>
        <w:overflowPunct w:val="0"/>
        <w:topLinePunct/>
        <w:spacing w:line="520" w:lineRule="exact"/>
        <w:rPr>
          <w:rFonts w:hint="eastAsia" w:ascii="GWZT-EN" w:hAnsiTheme="minorEastAsia" w:eastAsiaTheme="minorEastAsia" w:cstheme="minorEastAsia"/>
          <w:b/>
          <w:bCs/>
          <w:sz w:val="32"/>
          <w:szCs w:val="32"/>
        </w:rPr>
      </w:pPr>
      <w:r>
        <w:rPr>
          <w:rFonts w:hint="eastAsia" w:ascii="GWZT-EN" w:hAnsiTheme="minorEastAsia" w:eastAsiaTheme="minorEastAsia" w:cstheme="minorEastAsia"/>
          <w:b/>
          <w:bCs/>
          <w:sz w:val="32"/>
          <w:szCs w:val="32"/>
        </w:rPr>
        <w:t>采购清单及技术要求</w:t>
      </w:r>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928"/>
        <w:gridCol w:w="61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00"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采购</w:t>
            </w:r>
          </w:p>
          <w:p>
            <w:pPr>
              <w:overflowPunct w:val="0"/>
              <w:topLinePunct/>
              <w:spacing w:line="360" w:lineRule="auto"/>
              <w:jc w:val="center"/>
              <w:rPr>
                <w:rFonts w:hint="eastAsia" w:ascii="GWZT-EN" w:hAnsiTheme="minorEastAsia" w:eastAsiaTheme="minorEastAsia" w:cstheme="minorEastAsia"/>
                <w:b w:val="0"/>
                <w:color w:val="000000"/>
                <w:szCs w:val="21"/>
              </w:rPr>
            </w:pPr>
            <w:r>
              <w:rPr>
                <w:rFonts w:hint="eastAsia" w:ascii="GWZT-EN" w:hAnsiTheme="minorEastAsia" w:eastAsiaTheme="minorEastAsia" w:cstheme="minorEastAsia"/>
                <w:b w:val="0"/>
                <w:bCs w:val="0"/>
                <w:color w:val="000000"/>
                <w:sz w:val="24"/>
              </w:rPr>
              <w:t>品目</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采购数量</w:t>
            </w:r>
          </w:p>
        </w:tc>
        <w:tc>
          <w:tcPr>
            <w:tcW w:w="6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详细参数及性能要求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00" w:type="dxa"/>
            <w:tcBorders>
              <w:top w:val="single" w:color="000000" w:sz="4" w:space="0"/>
              <w:left w:val="single" w:color="000000" w:sz="4" w:space="0"/>
              <w:bottom w:val="single" w:color="000000" w:sz="4" w:space="0"/>
              <w:right w:val="single" w:color="000000" w:sz="4" w:space="0"/>
            </w:tcBorders>
            <w:shd w:val="clear" w:color="auto" w:fill="FFFFFF"/>
          </w:tcPr>
          <w:p>
            <w:pPr>
              <w:overflowPunct w:val="0"/>
              <w:topLinePunct/>
              <w:spacing w:line="360" w:lineRule="auto"/>
              <w:rPr>
                <w:rFonts w:hint="eastAsia" w:asciiTheme="minorEastAsia" w:hAnsiTheme="minorEastAsia" w:eastAsiaTheme="minorEastAsia" w:cstheme="minorEastAsia"/>
                <w:b w:val="0"/>
                <w:color w:val="000000"/>
                <w:sz w:val="24"/>
                <w:szCs w:val="24"/>
                <w:shd w:val="clear" w:color="auto" w:fill="FFFFFF"/>
              </w:rPr>
            </w:pPr>
          </w:p>
          <w:p>
            <w:pPr>
              <w:overflowPunct w:val="0"/>
              <w:topLinePunct/>
              <w:spacing w:line="360" w:lineRule="auto"/>
              <w:rPr>
                <w:rFonts w:hint="eastAsia" w:asciiTheme="minorEastAsia" w:hAnsiTheme="minorEastAsia" w:eastAsiaTheme="minorEastAsia" w:cstheme="minorEastAsia"/>
                <w:b w:val="0"/>
                <w:color w:val="000000"/>
                <w:sz w:val="24"/>
                <w:szCs w:val="24"/>
                <w:shd w:val="clear" w:color="auto" w:fill="FFFFFF"/>
              </w:rPr>
            </w:pPr>
          </w:p>
          <w:p>
            <w:pPr>
              <w:overflowPunct w:val="0"/>
              <w:topLinePunct/>
              <w:spacing w:line="360" w:lineRule="auto"/>
              <w:rPr>
                <w:rFonts w:hint="eastAsia" w:asciiTheme="minorEastAsia" w:hAnsiTheme="minorEastAsia" w:eastAsiaTheme="minorEastAsia" w:cstheme="minorEastAsia"/>
                <w:b w:val="0"/>
                <w:bCs/>
                <w:color w:val="000000"/>
                <w:sz w:val="24"/>
                <w:szCs w:val="24"/>
              </w:rPr>
            </w:pPr>
          </w:p>
          <w:p>
            <w:pPr>
              <w:overflowPunct w:val="0"/>
              <w:topLinePunct/>
              <w:spacing w:line="360" w:lineRule="auto"/>
              <w:rPr>
                <w:rFonts w:hint="eastAsia" w:asciiTheme="minorEastAsia" w:hAnsiTheme="minorEastAsia" w:eastAsiaTheme="minorEastAsia" w:cstheme="minorEastAsia"/>
                <w:b w:val="0"/>
                <w:bCs/>
                <w:color w:val="000000"/>
                <w:sz w:val="24"/>
                <w:szCs w:val="24"/>
              </w:rPr>
            </w:pPr>
          </w:p>
          <w:p>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GWZT-EN" w:hAnsiTheme="minorEastAsia" w:eastAsiaTheme="minorEastAsia" w:cstheme="minorEastAsia"/>
                <w:sz w:val="44"/>
                <w:szCs w:val="44"/>
                <w:lang w:val="en-US" w:eastAsia="zh-CN"/>
              </w:rPr>
              <w:t>中药粉碎机、自动制丸机</w:t>
            </w:r>
          </w:p>
        </w:tc>
        <w:tc>
          <w:tcPr>
            <w:tcW w:w="928" w:type="dxa"/>
            <w:tcBorders>
              <w:top w:val="single" w:color="000000" w:sz="4" w:space="0"/>
              <w:left w:val="single" w:color="000000" w:sz="4" w:space="0"/>
              <w:bottom w:val="single" w:color="000000" w:sz="4" w:space="0"/>
              <w:right w:val="single" w:color="000000" w:sz="4" w:space="0"/>
            </w:tcBorders>
            <w:shd w:val="clear" w:color="auto" w:fill="FFFFFF"/>
          </w:tcPr>
          <w:p>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 xml:space="preserve"> </w:t>
            </w:r>
          </w:p>
          <w:p>
            <w:pPr>
              <w:overflowPunct w:val="0"/>
              <w:topLinePunct/>
              <w:spacing w:line="360" w:lineRule="auto"/>
              <w:rPr>
                <w:rFonts w:hint="eastAsia" w:asciiTheme="minorEastAsia" w:hAnsiTheme="minorEastAsia" w:eastAsiaTheme="minorEastAsia" w:cstheme="minorEastAsia"/>
                <w:b w:val="0"/>
                <w:color w:val="000000"/>
                <w:sz w:val="24"/>
                <w:szCs w:val="24"/>
              </w:rPr>
            </w:pPr>
          </w:p>
          <w:p>
            <w:pPr>
              <w:overflowPunct w:val="0"/>
              <w:topLinePunct/>
              <w:spacing w:line="360" w:lineRule="auto"/>
              <w:rPr>
                <w:rFonts w:hint="eastAsia" w:asciiTheme="minorEastAsia" w:hAnsiTheme="minorEastAsia" w:eastAsiaTheme="minorEastAsia" w:cstheme="minorEastAsia"/>
                <w:b w:val="0"/>
                <w:color w:val="000000"/>
                <w:sz w:val="24"/>
                <w:szCs w:val="24"/>
              </w:rPr>
            </w:pPr>
          </w:p>
          <w:p>
            <w:pPr>
              <w:overflowPunct w:val="0"/>
              <w:topLinePunct/>
              <w:spacing w:line="360" w:lineRule="auto"/>
              <w:rPr>
                <w:rFonts w:hint="eastAsia" w:asciiTheme="minorEastAsia" w:hAnsiTheme="minorEastAsia" w:eastAsiaTheme="minorEastAsia" w:cstheme="minorEastAsia"/>
                <w:b w:val="0"/>
                <w:color w:val="000000"/>
                <w:sz w:val="24"/>
                <w:szCs w:val="24"/>
              </w:rPr>
            </w:pPr>
          </w:p>
          <w:p>
            <w:pPr>
              <w:overflowPunct w:val="0"/>
              <w:topLinePunct/>
              <w:spacing w:line="360" w:lineRule="auto"/>
              <w:rPr>
                <w:rFonts w:hint="eastAsia" w:asciiTheme="minorEastAsia" w:hAnsiTheme="minorEastAsia" w:eastAsiaTheme="minorEastAsia" w:cstheme="minorEastAsia"/>
                <w:b w:val="0"/>
                <w:color w:val="000000"/>
                <w:sz w:val="24"/>
                <w:szCs w:val="24"/>
              </w:rPr>
            </w:pPr>
          </w:p>
          <w:p>
            <w:pPr>
              <w:overflowPunct w:val="0"/>
              <w:topLinePunct/>
              <w:spacing w:line="360" w:lineRule="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中药粉碎机 1台、</w:t>
            </w:r>
          </w:p>
          <w:p>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lang w:val="en-US" w:eastAsia="zh-CN"/>
              </w:rPr>
              <w:t xml:space="preserve">自动制丸机  1台  </w:t>
            </w:r>
            <w:r>
              <w:rPr>
                <w:rFonts w:hint="eastAsia" w:asciiTheme="minorEastAsia" w:hAnsiTheme="minorEastAsia" w:eastAsiaTheme="minorEastAsia" w:cstheme="minorEastAsia"/>
                <w:b w:val="0"/>
                <w:color w:val="000000"/>
                <w:sz w:val="24"/>
                <w:szCs w:val="24"/>
              </w:rPr>
              <w:t xml:space="preserve">   </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一、基本要求</w:t>
            </w:r>
          </w:p>
          <w:p>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1、产品须为合法企业生产，符合国家相关质量标准；</w:t>
            </w:r>
          </w:p>
          <w:p>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2、投标人投标时必须提供产品彩页或照片以及产品说明、具体的规格型号；乙方在供货期内保证所提供的产品合格率100%，如出现不符合招标文件要求的产品，无条件退货；</w:t>
            </w:r>
          </w:p>
          <w:p>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3、售后服务 维修人员在24小时内到达最终用户现场实施维修。单次停机时间不得超过一周，否则作相应的补偿。列出所有与设备相关的常备维修配件清单，标明品牌、型号、产地等并分项报价，质保期内免费维修，质保期外零配件按市场最低价供应，设备停产后仍保证八年的供应；</w:t>
            </w:r>
          </w:p>
          <w:p>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4、及时提供设备新功能信息和临床应用的资料。</w:t>
            </w:r>
          </w:p>
          <w:p>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5、项目由中标供应商安装，安装过程中涉及到对房屋破坏和恢复由中标人负责。（提供承诺函）；</w:t>
            </w:r>
          </w:p>
          <w:p>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6.中标人须无偿向招标人提供培训服务。</w:t>
            </w:r>
          </w:p>
          <w:p>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二、参数要求：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（一）中药粉碎机</w:t>
            </w:r>
            <w:r>
              <w:rPr>
                <w:rFonts w:hint="eastAsia" w:asciiTheme="minorEastAsia" w:hAnsiTheme="minorEastAsia" w:eastAsiaTheme="minorEastAsia"/>
                <w:b/>
                <w:bCs/>
                <w:sz w:val="24"/>
                <w:szCs w:val="24"/>
                <w:lang w:val="en-US" w:eastAsia="zh-CN"/>
              </w:rPr>
              <w:t>技术参数：</w:t>
            </w:r>
          </w:p>
          <w:p>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hint="default"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1、水冷式</w:t>
            </w:r>
          </w:p>
          <w:p>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2.工作电压： AC220V 50HZ</w:t>
            </w:r>
          </w:p>
          <w:p>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 xml:space="preserve">3、功率:≥3000w   </w:t>
            </w:r>
          </w:p>
          <w:p>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 xml:space="preserve">4、产量:20-50kg/h  </w:t>
            </w:r>
          </w:p>
          <w:p>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5、细度:40-150 目</w:t>
            </w:r>
          </w:p>
          <w:p>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6、最大转速:≥4800 转/分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自动制丸机</w:t>
            </w:r>
            <w:r>
              <w:rPr>
                <w:rFonts w:hint="eastAsia" w:asciiTheme="minorEastAsia" w:hAnsiTheme="minorEastAsia" w:eastAsiaTheme="minorEastAsia"/>
                <w:b/>
                <w:bCs/>
                <w:sz w:val="24"/>
                <w:szCs w:val="24"/>
                <w:lang w:val="en-US" w:eastAsia="zh-CN"/>
              </w:rPr>
              <w:t>技术参数：</w:t>
            </w:r>
          </w:p>
          <w:p>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1、工作电压： AC220V 50HZ</w:t>
            </w:r>
          </w:p>
          <w:p>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hint="default"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2、</w:t>
            </w:r>
            <w:r>
              <w:rPr>
                <w:rFonts w:hint="default" w:asciiTheme="minorEastAsia" w:hAnsiTheme="minorEastAsia" w:eastAsiaTheme="minorEastAsia" w:cstheme="minorEastAsia"/>
                <w:b w:val="0"/>
                <w:color w:val="000000"/>
                <w:sz w:val="24"/>
                <w:szCs w:val="24"/>
                <w:lang w:val="en-US" w:eastAsia="zh-CN"/>
              </w:rPr>
              <w:t>功率:</w:t>
            </w:r>
            <w:r>
              <w:rPr>
                <w:rFonts w:hint="eastAsia" w:asciiTheme="minorEastAsia" w:hAnsiTheme="minorEastAsia" w:eastAsiaTheme="minorEastAsia" w:cstheme="minorEastAsia"/>
                <w:b w:val="0"/>
                <w:color w:val="000000"/>
                <w:sz w:val="24"/>
                <w:szCs w:val="24"/>
                <w:lang w:val="en-US" w:eastAsia="zh-CN"/>
              </w:rPr>
              <w:t>≥</w:t>
            </w:r>
            <w:r>
              <w:rPr>
                <w:rFonts w:hint="default" w:asciiTheme="minorEastAsia" w:hAnsiTheme="minorEastAsia" w:eastAsiaTheme="minorEastAsia" w:cstheme="minorEastAsia"/>
                <w:b w:val="0"/>
                <w:color w:val="000000"/>
                <w:sz w:val="24"/>
                <w:szCs w:val="24"/>
                <w:lang w:val="en-US" w:eastAsia="zh-CN"/>
              </w:rPr>
              <w:t xml:space="preserve">670w   </w:t>
            </w:r>
          </w:p>
          <w:p>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hint="default"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3、</w:t>
            </w:r>
            <w:r>
              <w:rPr>
                <w:rFonts w:hint="default" w:asciiTheme="minorEastAsia" w:hAnsiTheme="minorEastAsia" w:eastAsiaTheme="minorEastAsia" w:cstheme="minorEastAsia"/>
                <w:b w:val="0"/>
                <w:color w:val="000000"/>
                <w:sz w:val="24"/>
                <w:szCs w:val="24"/>
                <w:lang w:val="en-US" w:eastAsia="zh-CN"/>
              </w:rPr>
              <w:t>产量:5-20kg</w:t>
            </w:r>
          </w:p>
          <w:p>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hint="default"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4、</w:t>
            </w:r>
            <w:r>
              <w:rPr>
                <w:rFonts w:hint="default" w:asciiTheme="minorEastAsia" w:hAnsiTheme="minorEastAsia" w:eastAsiaTheme="minorEastAsia" w:cstheme="minorEastAsia"/>
                <w:b w:val="0"/>
                <w:color w:val="000000"/>
                <w:sz w:val="24"/>
                <w:szCs w:val="24"/>
                <w:lang w:val="en-US" w:eastAsia="zh-CN"/>
              </w:rPr>
              <w:t>丸直径:2-8mm</w:t>
            </w:r>
            <w:r>
              <w:rPr>
                <w:rFonts w:hint="eastAsia" w:asciiTheme="minorEastAsia" w:hAnsiTheme="minorEastAsia" w:eastAsiaTheme="minorEastAsia" w:cstheme="minorEastAsia"/>
                <w:b w:val="0"/>
                <w:color w:val="000000"/>
                <w:sz w:val="24"/>
                <w:szCs w:val="24"/>
                <w:lang w:val="en-US" w:eastAsia="zh-CN"/>
              </w:rPr>
              <w:t>，±10%</w:t>
            </w:r>
          </w:p>
          <w:p>
            <w:pPr>
              <w:keepNext w:val="0"/>
              <w:keepLines w:val="0"/>
              <w:pageBreakBefore w:val="0"/>
              <w:widowControl w:val="0"/>
              <w:kinsoku/>
              <w:wordWrap/>
              <w:overflowPunct w:val="0"/>
              <w:topLinePunct/>
              <w:autoSpaceDE/>
              <w:autoSpaceDN/>
              <w:bidi w:val="0"/>
              <w:adjustRightInd w:val="0"/>
              <w:snapToGrid/>
              <w:spacing w:line="560" w:lineRule="exact"/>
              <w:ind w:left="458" w:hanging="458" w:hangingChars="2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三、质保期≥5年，终身维护。如设备涉及耗材，请分别报价。</w:t>
            </w:r>
          </w:p>
          <w:p>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四、要求提供的证明材料包括：</w:t>
            </w:r>
          </w:p>
          <w:p>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1、产品宣传彩页（中文版原件，标注有技术参数）；</w:t>
            </w:r>
          </w:p>
          <w:p>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2、产品白皮书（中文版）；</w:t>
            </w:r>
          </w:p>
          <w:p>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3、产品使用说明书（中文版）；</w:t>
            </w:r>
          </w:p>
          <w:p>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4、产品检测报告；</w:t>
            </w:r>
          </w:p>
          <w:p>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 xml:space="preserve">5、产品注册证 ； </w:t>
            </w:r>
          </w:p>
          <w:p>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6、其它证明材料</w:t>
            </w:r>
          </w:p>
          <w:p>
            <w:pPr>
              <w:keepNext w:val="0"/>
              <w:keepLines w:val="0"/>
              <w:pageBreakBefore w:val="0"/>
              <w:widowControl w:val="0"/>
              <w:kinsoku/>
              <w:wordWrap/>
              <w:overflowPunct w:val="0"/>
              <w:topLinePunct/>
              <w:autoSpaceDE/>
              <w:autoSpaceDN/>
              <w:bidi w:val="0"/>
              <w:adjustRightInd w:val="0"/>
              <w:snapToGrid/>
              <w:spacing w:line="560" w:lineRule="exact"/>
              <w:ind w:firstLine="458"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color w:val="000000"/>
                <w:sz w:val="24"/>
                <w:szCs w:val="24"/>
                <w:lang w:val="en-US" w:eastAsia="zh-CN"/>
              </w:rPr>
              <w:t>以上六种，需加盖公章，投标人可任意提供其中一种或者几种，但是必须要能证明所投产品的技术指标与标书要求的一致性或者差异，如果有差异，需要在技术参数偏离表中标注清楚。</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Pr>
          <w:p>
            <w:pPr>
              <w:overflowPunct w:val="0"/>
              <w:topLinePunct/>
              <w:spacing w:line="360" w:lineRule="auto"/>
              <w:rPr>
                <w:rFonts w:hint="eastAsia" w:asciiTheme="minorEastAsia" w:hAnsiTheme="minorEastAsia" w:eastAsiaTheme="minorEastAsia" w:cstheme="minorEastAsia"/>
                <w:b w:val="0"/>
                <w:color w:val="000000"/>
                <w:szCs w:val="21"/>
              </w:rPr>
            </w:pPr>
          </w:p>
          <w:p>
            <w:pPr>
              <w:overflowPunct w:val="0"/>
              <w:topLinePunct/>
              <w:spacing w:line="360" w:lineRule="auto"/>
              <w:rPr>
                <w:rFonts w:hint="eastAsia" w:asciiTheme="minorEastAsia" w:hAnsiTheme="minorEastAsia" w:eastAsiaTheme="minorEastAsia" w:cstheme="minorEastAsia"/>
                <w:b w:val="0"/>
                <w:color w:val="000000"/>
                <w:szCs w:val="21"/>
              </w:rPr>
            </w:pPr>
            <w:r>
              <w:rPr>
                <w:rFonts w:hint="eastAsia" w:asciiTheme="minorEastAsia" w:hAnsiTheme="minorEastAsia" w:eastAsiaTheme="minorEastAsia" w:cstheme="minorEastAsia"/>
                <w:b w:val="0"/>
                <w:color w:val="000000"/>
                <w:szCs w:val="21"/>
              </w:rPr>
              <w:t xml:space="preserve">        </w:t>
            </w:r>
          </w:p>
        </w:tc>
      </w:tr>
    </w:tbl>
    <w:p>
      <w:pPr>
        <w:pStyle w:val="11"/>
        <w:overflowPunct w:val="0"/>
        <w:topLinePunct/>
        <w:spacing w:line="500" w:lineRule="exact"/>
        <w:jc w:val="left"/>
        <w:rPr>
          <w:rFonts w:hint="eastAsia" w:asciiTheme="minorEastAsia" w:hAnsiTheme="minorEastAsia" w:eastAsiaTheme="minorEastAsia" w:cstheme="minorEastAsia"/>
          <w:b/>
          <w:color w:val="FF0000"/>
          <w:sz w:val="24"/>
          <w:szCs w:val="24"/>
        </w:rPr>
      </w:pPr>
    </w:p>
    <w:p>
      <w:pPr>
        <w:pStyle w:val="11"/>
        <w:overflowPunct w:val="0"/>
        <w:topLinePunct/>
        <w:spacing w:line="500" w:lineRule="exact"/>
        <w:jc w:val="left"/>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注：</w:t>
      </w:r>
    </w:p>
    <w:p>
      <w:pPr>
        <w:pStyle w:val="11"/>
        <w:keepNext w:val="0"/>
        <w:keepLines w:val="0"/>
        <w:pageBreakBefore w:val="0"/>
        <w:widowControl w:val="0"/>
        <w:kinsoku/>
        <w:wordWrap/>
        <w:overflowPunct w:val="0"/>
        <w:topLinePunct/>
        <w:autoSpaceDE/>
        <w:autoSpaceDN/>
        <w:bidi w:val="0"/>
        <w:snapToGrid/>
        <w:spacing w:line="560" w:lineRule="exact"/>
        <w:ind w:left="956" w:leftChars="154" w:hanging="482" w:hangingChars="200"/>
        <w:jc w:val="left"/>
        <w:textAlignment w:val="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1、</w:t>
      </w:r>
      <w:r>
        <w:rPr>
          <w:rStyle w:val="12"/>
          <w:rFonts w:hint="eastAsia" w:asciiTheme="minorEastAsia" w:hAnsiTheme="minorEastAsia" w:eastAsiaTheme="minorEastAsia" w:cstheme="minorEastAsia"/>
          <w:b/>
          <w:color w:val="FF0000"/>
          <w:sz w:val="24"/>
          <w:szCs w:val="24"/>
        </w:rPr>
        <w:t>基本要求必须全部满足要求、否则按无效标处理；所有项目</w:t>
      </w:r>
      <w:r>
        <w:rPr>
          <w:rFonts w:hint="eastAsia" w:asciiTheme="minorEastAsia" w:hAnsiTheme="minorEastAsia" w:eastAsiaTheme="minorEastAsia" w:cstheme="minorEastAsia"/>
          <w:b/>
          <w:color w:val="FF0000"/>
          <w:sz w:val="24"/>
          <w:szCs w:val="24"/>
        </w:rPr>
        <w:t>必需全部响应，否则按无效标处理；</w:t>
      </w:r>
    </w:p>
    <w:p>
      <w:pPr>
        <w:keepNext w:val="0"/>
        <w:keepLines w:val="0"/>
        <w:pageBreakBefore w:val="0"/>
        <w:widowControl w:val="0"/>
        <w:kinsoku/>
        <w:wordWrap/>
        <w:overflowPunct w:val="0"/>
        <w:topLinePunct/>
        <w:autoSpaceDE/>
        <w:autoSpaceDN/>
        <w:bidi w:val="0"/>
        <w:snapToGrid/>
        <w:spacing w:line="560" w:lineRule="exact"/>
        <w:ind w:left="932" w:leftChars="154" w:hanging="458" w:hangingChars="200"/>
        <w:textAlignment w:val="auto"/>
        <w:rPr>
          <w:rStyle w:val="12"/>
          <w:rFonts w:hint="eastAsia" w:asciiTheme="minorEastAsia" w:hAnsiTheme="minorEastAsia" w:eastAsiaTheme="minorEastAsia" w:cstheme="minorEastAsia"/>
          <w:b/>
          <w:color w:val="FF0000"/>
          <w:kern w:val="2"/>
          <w:sz w:val="24"/>
          <w:szCs w:val="24"/>
        </w:rPr>
      </w:pPr>
      <w:r>
        <w:rPr>
          <w:rStyle w:val="12"/>
          <w:rFonts w:hint="eastAsia" w:asciiTheme="minorEastAsia" w:hAnsiTheme="minorEastAsia" w:eastAsiaTheme="minorEastAsia" w:cstheme="minorEastAsia"/>
          <w:b/>
          <w:color w:val="FF0000"/>
          <w:kern w:val="2"/>
          <w:sz w:val="24"/>
          <w:szCs w:val="24"/>
        </w:rPr>
        <w:t>2、投标人应对招标文件中的技术指标逐条进行响应，在技术规范响应表中必须正面回答产品所有技术指标的响应情况。标记“★”、的重要技术参数，需附证明材料、标明所在页码，并在证明材料中标识清楚（划线或画圈），否则，评标委员会有权视其不响应；</w:t>
      </w:r>
    </w:p>
    <w:p>
      <w:pPr>
        <w:keepNext w:val="0"/>
        <w:keepLines w:val="0"/>
        <w:pageBreakBefore w:val="0"/>
        <w:widowControl w:val="0"/>
        <w:kinsoku/>
        <w:wordWrap/>
        <w:overflowPunct w:val="0"/>
        <w:topLinePunct/>
        <w:autoSpaceDE/>
        <w:autoSpaceDN/>
        <w:bidi w:val="0"/>
        <w:snapToGrid/>
        <w:spacing w:line="560" w:lineRule="exact"/>
        <w:ind w:firstLine="458" w:firstLineChars="200"/>
        <w:textAlignment w:val="auto"/>
        <w:rPr>
          <w:rStyle w:val="12"/>
          <w:rFonts w:hint="eastAsia" w:asciiTheme="minorEastAsia" w:hAnsiTheme="minorEastAsia" w:eastAsiaTheme="minorEastAsia" w:cstheme="minorEastAsia"/>
          <w:b/>
          <w:color w:val="FF0000"/>
          <w:kern w:val="2"/>
          <w:sz w:val="24"/>
          <w:szCs w:val="24"/>
        </w:rPr>
      </w:pPr>
      <w:r>
        <w:rPr>
          <w:rStyle w:val="12"/>
          <w:rFonts w:hint="eastAsia" w:asciiTheme="minorEastAsia" w:hAnsiTheme="minorEastAsia" w:eastAsiaTheme="minorEastAsia" w:cstheme="minorEastAsia"/>
          <w:b/>
          <w:color w:val="FF0000"/>
          <w:kern w:val="2"/>
          <w:sz w:val="24"/>
          <w:szCs w:val="24"/>
        </w:rPr>
        <w:t>3、如验收时发现有虚假应标，将上报监管部门。</w:t>
      </w:r>
    </w:p>
    <w:p>
      <w:pPr>
        <w:overflowPunct w:val="0"/>
        <w:topLinePunct/>
        <w:rPr>
          <w:rFonts w:hint="eastAsia" w:asciiTheme="minorEastAsia" w:hAnsiTheme="minorEastAsia" w:eastAsiaTheme="minorEastAsia" w:cstheme="minorEastAsia"/>
          <w:b/>
          <w:bCs/>
          <w:sz w:val="28"/>
          <w:szCs w:val="28"/>
        </w:rPr>
      </w:pPr>
    </w:p>
    <w:p>
      <w:pPr>
        <w:overflowPunct w:val="0"/>
        <w:topLinePun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二、商务要求</w:t>
      </w:r>
    </w:p>
    <w:p>
      <w:pPr>
        <w:overflowPunct w:val="0"/>
        <w:topLinePun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w:t>
      </w:r>
    </w:p>
    <w:tbl>
      <w:tblPr>
        <w:tblStyle w:val="9"/>
        <w:tblW w:w="870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序号</w:t>
            </w:r>
          </w:p>
        </w:tc>
        <w:tc>
          <w:tcPr>
            <w:tcW w:w="1701" w:type="dxa"/>
            <w:vAlign w:val="center"/>
          </w:tcPr>
          <w:p>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内容</w:t>
            </w:r>
          </w:p>
        </w:tc>
        <w:tc>
          <w:tcPr>
            <w:tcW w:w="6294" w:type="dxa"/>
            <w:vAlign w:val="center"/>
          </w:tcPr>
          <w:p>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p>
        </w:tc>
        <w:tc>
          <w:tcPr>
            <w:tcW w:w="1701" w:type="dxa"/>
            <w:vAlign w:val="center"/>
          </w:tcPr>
          <w:p>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合同签订地点</w:t>
            </w:r>
          </w:p>
        </w:tc>
        <w:tc>
          <w:tcPr>
            <w:tcW w:w="6294" w:type="dxa"/>
            <w:vAlign w:val="center"/>
          </w:tcPr>
          <w:p>
            <w:pPr>
              <w:overflowPunct w:val="0"/>
              <w:topLinePunct/>
              <w:spacing w:line="500" w:lineRule="exact"/>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bCs w:val="0"/>
                <w:sz w:val="24"/>
                <w:szCs w:val="24"/>
              </w:rPr>
              <w:t>黄山市屯溪区</w:t>
            </w:r>
            <w:r>
              <w:rPr>
                <w:rFonts w:hint="eastAsia" w:asciiTheme="minorEastAsia" w:hAnsiTheme="minorEastAsia" w:eastAsiaTheme="minorEastAsia" w:cstheme="minorEastAsia"/>
                <w:b w:val="0"/>
                <w:bCs w:val="0"/>
                <w:sz w:val="24"/>
                <w:szCs w:val="24"/>
                <w:lang w:val="en-US" w:eastAsia="zh-CN"/>
              </w:rPr>
              <w:t>黄山市中医医院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p>
        </w:tc>
        <w:tc>
          <w:tcPr>
            <w:tcW w:w="1701" w:type="dxa"/>
            <w:vAlign w:val="center"/>
          </w:tcPr>
          <w:p>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供货完成时限的期限</w:t>
            </w:r>
          </w:p>
        </w:tc>
        <w:tc>
          <w:tcPr>
            <w:tcW w:w="6294" w:type="dxa"/>
            <w:vAlign w:val="center"/>
          </w:tcPr>
          <w:p>
            <w:pPr>
              <w:overflowPunct w:val="0"/>
              <w:topLinePunct/>
              <w:spacing w:line="500" w:lineRule="exact"/>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bCs w:val="0"/>
                <w:sz w:val="24"/>
                <w:szCs w:val="24"/>
                <w:lang w:val="en-US" w:eastAsia="zh-CN"/>
              </w:rPr>
              <w:t>根据采购人需求供货、安装、验收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p>
        </w:tc>
        <w:tc>
          <w:tcPr>
            <w:tcW w:w="1701" w:type="dxa"/>
            <w:vAlign w:val="center"/>
          </w:tcPr>
          <w:p>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货物包装运输要求</w:t>
            </w:r>
          </w:p>
        </w:tc>
        <w:tc>
          <w:tcPr>
            <w:tcW w:w="6294" w:type="dxa"/>
            <w:vAlign w:val="center"/>
          </w:tcPr>
          <w:p>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项目中涉及商品包装和快递包装的，按照安徽省财政厅、安徽省生态环境厅、安徽省邮政管理局《关于转发财政部办公厅生态环境部办公厅国家邮政局办公室关于印发&lt;商品包装政府采购需求标准（试行）&gt;&lt;快递包装政府采购需求标准（试行）&gt;的通知》执行。</w:t>
            </w:r>
          </w:p>
          <w:p>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lang w:val="en-US" w:eastAsia="zh-CN"/>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overflowPunct w:val="0"/>
              <w:topLinePunct/>
              <w:spacing w:line="5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w:t>
            </w:r>
          </w:p>
        </w:tc>
        <w:tc>
          <w:tcPr>
            <w:tcW w:w="1701" w:type="dxa"/>
            <w:vAlign w:val="center"/>
          </w:tcPr>
          <w:p>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验收</w:t>
            </w:r>
          </w:p>
        </w:tc>
        <w:tc>
          <w:tcPr>
            <w:tcW w:w="6294" w:type="dxa"/>
            <w:vAlign w:val="center"/>
          </w:tcPr>
          <w:p>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overflowPunct w:val="0"/>
              <w:topLinePunct/>
              <w:spacing w:line="500" w:lineRule="exact"/>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5</w:t>
            </w:r>
          </w:p>
        </w:tc>
        <w:tc>
          <w:tcPr>
            <w:tcW w:w="1701" w:type="dxa"/>
            <w:vAlign w:val="center"/>
          </w:tcPr>
          <w:p>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w:t>
            </w:r>
          </w:p>
        </w:tc>
        <w:tc>
          <w:tcPr>
            <w:tcW w:w="6294" w:type="dxa"/>
            <w:vAlign w:val="center"/>
          </w:tcPr>
          <w:p>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付款人：黄山市中医医院</w:t>
            </w:r>
          </w:p>
          <w:p>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付款方式：</w:t>
            </w:r>
            <w:r>
              <w:rPr>
                <w:rFonts w:hint="eastAsia" w:ascii="新宋体" w:hAnsi="新宋体" w:eastAsia="新宋体" w:cs="Times New Roman"/>
                <w:sz w:val="24"/>
                <w:u w:val="none"/>
              </w:rPr>
              <w:t xml:space="preserve">货物到采购人指定地点安装调试完毕并验收合格后，付至合同金额的 100％； 中标后签订合同前，需将中标金额的 </w:t>
            </w:r>
            <w:r>
              <w:rPr>
                <w:rFonts w:hint="eastAsia" w:ascii="新宋体" w:hAnsi="新宋体" w:eastAsia="新宋体" w:cs="Times New Roman"/>
                <w:sz w:val="24"/>
                <w:u w:val="none"/>
                <w:lang w:val="en-US" w:eastAsia="zh-CN"/>
              </w:rPr>
              <w:t>2.5</w:t>
            </w:r>
            <w:r>
              <w:rPr>
                <w:rFonts w:hint="eastAsia" w:ascii="新宋体" w:hAnsi="新宋体" w:eastAsia="新宋体" w:cs="Times New Roman"/>
                <w:sz w:val="24"/>
                <w:u w:val="none"/>
              </w:rPr>
              <w:t>％作为履约保证金汇入医院指定账户，质保期满后无质量问题一次性退还，不计利息。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overflowPunct w:val="0"/>
              <w:topLinePunct/>
              <w:spacing w:line="500" w:lineRule="exact"/>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p>
        </w:tc>
        <w:tc>
          <w:tcPr>
            <w:tcW w:w="1701" w:type="dxa"/>
            <w:vAlign w:val="center"/>
          </w:tcPr>
          <w:p>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履约保证金</w:t>
            </w:r>
          </w:p>
        </w:tc>
        <w:tc>
          <w:tcPr>
            <w:tcW w:w="6294" w:type="dxa"/>
            <w:vAlign w:val="center"/>
          </w:tcPr>
          <w:p>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无</w:t>
            </w:r>
          </w:p>
        </w:tc>
      </w:tr>
    </w:tbl>
    <w:p>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6270917-4776-464E-8FE8-F6C8D68B23C0}"/>
  </w:font>
  <w:font w:name="GWZT-EN">
    <w:panose1 w:val="02020400000000000000"/>
    <w:charset w:val="86"/>
    <w:family w:val="auto"/>
    <w:pitch w:val="default"/>
    <w:sig w:usb0="00000000" w:usb1="00000000" w:usb2="00000000" w:usb3="00000000" w:csb0="00000000" w:csb1="00000000"/>
    <w:embedRegular r:id="rId2" w:fontKey="{430503E1-B396-4001-8D31-1635FB87B9C2}"/>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embedRegular r:id="rId3" w:fontKey="{983FE9FD-12AA-445B-910D-DF82C9E19F4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ACB80C"/>
    <w:multiLevelType w:val="singleLevel"/>
    <w:tmpl w:val="96ACB80C"/>
    <w:lvl w:ilvl="0" w:tentative="0">
      <w:start w:val="2"/>
      <w:numFmt w:val="chineseCounting"/>
      <w:suff w:val="nothing"/>
      <w:lvlText w:val="（%1）"/>
      <w:lvlJc w:val="left"/>
      <w:rPr>
        <w:rFonts w:hint="eastAsia"/>
      </w:rPr>
    </w:lvl>
  </w:abstractNum>
  <w:abstractNum w:abstractNumId="1">
    <w:nsid w:val="CBD3E746"/>
    <w:multiLevelType w:val="singleLevel"/>
    <w:tmpl w:val="CBD3E74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000000"/>
    <w:rsid w:val="046441B2"/>
    <w:rsid w:val="06B17456"/>
    <w:rsid w:val="09E33DCA"/>
    <w:rsid w:val="11D82756"/>
    <w:rsid w:val="121D48EB"/>
    <w:rsid w:val="124F7451"/>
    <w:rsid w:val="16C21142"/>
    <w:rsid w:val="1D11136A"/>
    <w:rsid w:val="1F1723DE"/>
    <w:rsid w:val="1F9E45C4"/>
    <w:rsid w:val="227F6801"/>
    <w:rsid w:val="22E24929"/>
    <w:rsid w:val="258E2BE2"/>
    <w:rsid w:val="27445706"/>
    <w:rsid w:val="2E6F28D1"/>
    <w:rsid w:val="2FC84D50"/>
    <w:rsid w:val="32BA5FD2"/>
    <w:rsid w:val="3D6D517E"/>
    <w:rsid w:val="3DE22730"/>
    <w:rsid w:val="404D3763"/>
    <w:rsid w:val="407968F4"/>
    <w:rsid w:val="426052B1"/>
    <w:rsid w:val="446E70C1"/>
    <w:rsid w:val="4B546044"/>
    <w:rsid w:val="4E930520"/>
    <w:rsid w:val="4ED212E5"/>
    <w:rsid w:val="508267A2"/>
    <w:rsid w:val="50DC4D9A"/>
    <w:rsid w:val="53163E96"/>
    <w:rsid w:val="5777152C"/>
    <w:rsid w:val="5ADB3D1F"/>
    <w:rsid w:val="5C007BEC"/>
    <w:rsid w:val="61D9309D"/>
    <w:rsid w:val="631A66BE"/>
    <w:rsid w:val="6636653D"/>
    <w:rsid w:val="66E90B75"/>
    <w:rsid w:val="69EA352F"/>
    <w:rsid w:val="6CE40709"/>
    <w:rsid w:val="6FB212C9"/>
    <w:rsid w:val="70BB2B35"/>
    <w:rsid w:val="727162DD"/>
    <w:rsid w:val="7637176F"/>
    <w:rsid w:val="772C78F4"/>
    <w:rsid w:val="78342545"/>
    <w:rsid w:val="7834322A"/>
    <w:rsid w:val="79CA5238"/>
    <w:rsid w:val="7AB1581D"/>
    <w:rsid w:val="7B952448"/>
    <w:rsid w:val="7E936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adjustRightInd w:val="0"/>
      <w:snapToGrid/>
      <w:jc w:val="both"/>
    </w:pPr>
    <w:rPr>
      <w:rFonts w:ascii="GWZT-EN" w:hAnsi="Tahoma" w:eastAsia="仿宋" w:cs="Times New Roman"/>
      <w:spacing w:val="-6"/>
      <w:kern w:val="2"/>
      <w:sz w:val="32"/>
      <w:szCs w:val="32"/>
      <w:lang w:val="en-US" w:eastAsia="zh-CN" w:bidi="ar-SA"/>
    </w:rPr>
  </w:style>
  <w:style w:type="paragraph" w:styleId="2">
    <w:name w:val="heading 1"/>
    <w:next w:val="1"/>
    <w:qFormat/>
    <w:uiPriority w:val="0"/>
    <w:pPr>
      <w:keepNext w:val="0"/>
      <w:keepLines w:val="0"/>
      <w:widowControl w:val="0"/>
      <w:overflowPunct w:val="0"/>
      <w:topLinePunct/>
      <w:adjustRightInd/>
      <w:snapToGrid/>
      <w:spacing w:line="240" w:lineRule="auto"/>
      <w:jc w:val="both"/>
      <w:outlineLvl w:val="0"/>
    </w:pPr>
    <w:rPr>
      <w:rFonts w:ascii="GWZT-EN" w:hAnsi="Times New Roman" w:eastAsia="黑体" w:cs="Times New Roman"/>
      <w:kern w:val="2"/>
      <w:sz w:val="32"/>
      <w:szCs w:val="32"/>
    </w:rPr>
  </w:style>
  <w:style w:type="paragraph" w:styleId="3">
    <w:name w:val="heading 2"/>
    <w:next w:val="1"/>
    <w:semiHidden/>
    <w:unhideWhenUsed/>
    <w:qFormat/>
    <w:uiPriority w:val="9"/>
    <w:pPr>
      <w:keepNext w:val="0"/>
      <w:keepLines w:val="0"/>
      <w:widowControl w:val="0"/>
      <w:overflowPunct w:val="0"/>
      <w:topLinePunct/>
      <w:spacing w:line="240" w:lineRule="auto"/>
      <w:jc w:val="both"/>
      <w:outlineLvl w:val="1"/>
    </w:pPr>
    <w:rPr>
      <w:rFonts w:ascii="GWZT-EN" w:eastAsia="楷体" w:cs="Times New Roman" w:hAnsiTheme="majorHAnsi"/>
      <w:kern w:val="2"/>
      <w:sz w:val="32"/>
      <w:szCs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Body Text First Indent"/>
    <w:basedOn w:val="1"/>
    <w:next w:val="1"/>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5">
    <w:name w:val="Normal Indent"/>
    <w:basedOn w:val="1"/>
    <w:qFormat/>
    <w:uiPriority w:val="0"/>
    <w:pPr>
      <w:ind w:firstLine="420" w:firstLineChars="200"/>
    </w:pPr>
  </w:style>
  <w:style w:type="paragraph" w:styleId="6">
    <w:name w:val="Body Text"/>
    <w:basedOn w:val="1"/>
    <w:next w:val="7"/>
    <w:qFormat/>
    <w:uiPriority w:val="0"/>
    <w:pPr>
      <w:jc w:val="left"/>
    </w:pPr>
    <w:rPr>
      <w:rFonts w:ascii="Arial" w:hAnsi="Arial" w:eastAsia="黑体"/>
      <w:b/>
      <w:sz w:val="32"/>
    </w:rPr>
  </w:style>
  <w:style w:type="paragraph" w:styleId="7">
    <w:name w:val="Date"/>
    <w:basedOn w:val="1"/>
    <w:next w:val="1"/>
    <w:qFormat/>
    <w:uiPriority w:val="0"/>
    <w:rPr>
      <w:rFonts w:ascii="仿宋_GB2312" w:eastAsia="仿宋_GB2312"/>
      <w:sz w:val="30"/>
      <w:lang w:bidi="he-IL"/>
    </w:rPr>
  </w:style>
  <w:style w:type="paragraph" w:customStyle="1" w:styleId="10">
    <w:name w:val="H1"/>
    <w:basedOn w:val="3"/>
    <w:next w:val="1"/>
    <w:qFormat/>
    <w:uiPriority w:val="0"/>
    <w:pPr>
      <w:widowControl w:val="0"/>
      <w:adjustRightInd/>
      <w:snapToGrid/>
      <w:spacing w:before="0" w:after="0" w:line="600" w:lineRule="exact"/>
      <w:jc w:val="center"/>
    </w:pPr>
    <w:rPr>
      <w:rFonts w:ascii="GWZT-EN" w:hAnsi="宋体" w:eastAsia="黑体" w:cs="Times New Roman"/>
      <w:color w:val="000000"/>
      <w:kern w:val="2"/>
      <w:szCs w:val="21"/>
    </w:rPr>
  </w:style>
  <w:style w:type="paragraph" w:customStyle="1" w:styleId="11">
    <w:name w:val="正文_0_0"/>
    <w:qFormat/>
    <w:uiPriority w:val="0"/>
    <w:pPr>
      <w:widowControl w:val="0"/>
      <w:jc w:val="both"/>
    </w:pPr>
    <w:rPr>
      <w:rFonts w:ascii="GWZT-EN" w:hAnsi="Times New Roman" w:eastAsia="宋体" w:cs="Times New Roman"/>
      <w:kern w:val="2"/>
      <w:sz w:val="21"/>
      <w:lang w:val="en-US" w:eastAsia="zh-CN" w:bidi="ar-SA"/>
    </w:rPr>
  </w:style>
  <w:style w:type="character" w:customStyle="1" w:styleId="12">
    <w:name w:val="NormalCharacter"/>
    <w:semiHidden/>
    <w:qFormat/>
    <w:uiPriority w:val="0"/>
    <w:rPr>
      <w:rFonts w:ascii="GWZT-EN"/>
    </w:rPr>
  </w:style>
  <w:style w:type="paragraph" w:customStyle="1" w:styleId="13">
    <w:name w:val="表格文字"/>
    <w:basedOn w:val="1"/>
    <w:next w:val="6"/>
    <w:qFormat/>
    <w:uiPriority w:val="0"/>
    <w:pPr>
      <w:adjustRightInd w:val="0"/>
      <w:spacing w:line="420" w:lineRule="atLeast"/>
      <w:textAlignment w:val="baseline"/>
    </w:pPr>
    <w:rPr>
      <w:szCs w:val="24"/>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1324</Words>
  <Characters>1388</Characters>
  <Lines>0</Lines>
  <Paragraphs>0</Paragraphs>
  <TotalTime>9</TotalTime>
  <ScaleCrop>false</ScaleCrop>
  <LinksUpToDate>false</LinksUpToDate>
  <CharactersWithSpaces>1435</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2025-08-01T02:50:44Z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KSOTemplateDocerSaveRecord">
    <vt:lpwstr>eyJoZGlkIjoiOTc3M2Y5NzIzMDFlZjAyY2Q4Njk5ODkyYjFjNzBiNTQiLCJ1c2VySWQiOiIxMTUzNzEyMTQ1In0=</vt:lpwstr>
  </property>
  <property fmtid="{D5CDD505-2E9C-101B-9397-08002B2CF9AE}" pid="4" name="ICV">
    <vt:lpwstr>E61D832B9C9B4BE4B0327137AE2526D6_12</vt:lpwstr>
  </property>
</Properties>
</file>