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5F472">
      <w:pPr>
        <w:jc w:val="center"/>
        <w:rPr>
          <w:rFonts w:ascii="宋体" w:hAnsi="宋体"/>
          <w:sz w:val="44"/>
          <w:szCs w:val="44"/>
        </w:rPr>
      </w:pPr>
    </w:p>
    <w:p w14:paraId="1DD76E6B">
      <w:pPr>
        <w:jc w:val="center"/>
        <w:rPr>
          <w:rFonts w:hint="eastAsia"/>
          <w:sz w:val="44"/>
          <w:szCs w:val="44"/>
        </w:rPr>
      </w:pPr>
      <w:r>
        <w:rPr>
          <w:rFonts w:hint="eastAsia" w:ascii="宋体" w:hAnsi="宋体"/>
          <w:sz w:val="44"/>
          <w:szCs w:val="44"/>
        </w:rPr>
        <w:t>黄山市中医医院户外广告牌采购需求</w:t>
      </w:r>
    </w:p>
    <w:p w14:paraId="1CDABA3F">
      <w:pPr>
        <w:spacing w:line="360" w:lineRule="auto"/>
        <w:ind w:firstLine="420" w:firstLineChars="200"/>
        <w:rPr>
          <w:sz w:val="44"/>
          <w:szCs w:val="44"/>
        </w:rPr>
      </w:pPr>
      <w:r>
        <w:rPr>
          <w:rFonts w:hint="eastAsia" w:ascii="宋体" w:hAnsi="宋体" w:eastAsia="宋体" w:cs="宋体"/>
          <w:bCs/>
          <w:sz w:val="21"/>
          <w:szCs w:val="21"/>
          <w:lang w:val="en-US" w:eastAsia="zh-CN"/>
        </w:rPr>
        <w:t>黄山市中医医院按需制作</w:t>
      </w:r>
      <w:r>
        <w:rPr>
          <w:rFonts w:hint="eastAsia" w:ascii="宋体" w:hAnsi="宋体" w:cs="宋体"/>
          <w:bCs/>
          <w:sz w:val="21"/>
          <w:szCs w:val="21"/>
          <w:lang w:val="en-US" w:eastAsia="zh-CN"/>
        </w:rPr>
        <w:t>、安装“安徽省针灸医院黄山分院”及拆移“国家中医特色重点医院”户外广告牌</w:t>
      </w:r>
      <w:r>
        <w:rPr>
          <w:rFonts w:hint="eastAsia" w:ascii="宋体" w:hAnsi="宋体" w:eastAsia="宋体" w:cs="宋体"/>
          <w:bCs/>
          <w:sz w:val="21"/>
          <w:szCs w:val="21"/>
          <w:lang w:val="en-US" w:eastAsia="zh-CN"/>
        </w:rPr>
        <w:t>，详见如下采购需求表：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2"/>
        <w:gridCol w:w="1464"/>
        <w:gridCol w:w="2678"/>
        <w:gridCol w:w="1088"/>
      </w:tblGrid>
      <w:tr w14:paraId="7B33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Borders>
              <w:top w:val="single" w:color="auto" w:sz="4" w:space="0"/>
              <w:left w:val="single" w:color="auto" w:sz="4" w:space="0"/>
              <w:bottom w:val="single" w:color="auto" w:sz="4" w:space="0"/>
              <w:right w:val="single" w:color="auto" w:sz="4" w:space="0"/>
            </w:tcBorders>
          </w:tcPr>
          <w:p w14:paraId="2D2CFC3D">
            <w:pPr>
              <w:jc w:val="center"/>
              <w:rPr>
                <w:kern w:val="2"/>
                <w:sz w:val="24"/>
                <w:szCs w:val="24"/>
              </w:rPr>
            </w:pPr>
            <w:r>
              <w:rPr>
                <w:rFonts w:hint="eastAsia" w:ascii="宋体" w:hAnsi="宋体"/>
                <w:kern w:val="0"/>
                <w:sz w:val="24"/>
                <w:szCs w:val="24"/>
              </w:rPr>
              <w:t>品名</w:t>
            </w:r>
          </w:p>
        </w:tc>
        <w:tc>
          <w:tcPr>
            <w:tcW w:w="1464" w:type="dxa"/>
            <w:tcBorders>
              <w:top w:val="single" w:color="auto" w:sz="4" w:space="0"/>
              <w:left w:val="single" w:color="auto" w:sz="4" w:space="0"/>
              <w:bottom w:val="single" w:color="auto" w:sz="4" w:space="0"/>
              <w:right w:val="single" w:color="auto" w:sz="4" w:space="0"/>
            </w:tcBorders>
          </w:tcPr>
          <w:p w14:paraId="1E85D164">
            <w:pPr>
              <w:jc w:val="center"/>
              <w:rPr>
                <w:kern w:val="2"/>
                <w:sz w:val="24"/>
                <w:szCs w:val="24"/>
              </w:rPr>
            </w:pPr>
            <w:r>
              <w:rPr>
                <w:rFonts w:hint="eastAsia" w:ascii="宋体" w:hAnsi="宋体"/>
                <w:kern w:val="0"/>
                <w:sz w:val="24"/>
                <w:szCs w:val="24"/>
              </w:rPr>
              <w:t>规格</w:t>
            </w:r>
          </w:p>
        </w:tc>
        <w:tc>
          <w:tcPr>
            <w:tcW w:w="2678" w:type="dxa"/>
            <w:tcBorders>
              <w:top w:val="single" w:color="auto" w:sz="4" w:space="0"/>
              <w:left w:val="single" w:color="auto" w:sz="4" w:space="0"/>
              <w:bottom w:val="single" w:color="auto" w:sz="4" w:space="0"/>
              <w:right w:val="single" w:color="auto" w:sz="4" w:space="0"/>
            </w:tcBorders>
          </w:tcPr>
          <w:p w14:paraId="512B927A">
            <w:pPr>
              <w:jc w:val="center"/>
              <w:rPr>
                <w:kern w:val="2"/>
                <w:sz w:val="24"/>
                <w:szCs w:val="24"/>
              </w:rPr>
            </w:pPr>
            <w:r>
              <w:rPr>
                <w:rFonts w:hint="eastAsia" w:ascii="宋体" w:hAnsi="宋体"/>
                <w:kern w:val="0"/>
                <w:sz w:val="24"/>
                <w:szCs w:val="24"/>
              </w:rPr>
              <w:t>技术参数</w:t>
            </w:r>
          </w:p>
        </w:tc>
        <w:tc>
          <w:tcPr>
            <w:tcW w:w="1088" w:type="dxa"/>
            <w:tcBorders>
              <w:top w:val="single" w:color="auto" w:sz="4" w:space="0"/>
              <w:left w:val="single" w:color="auto" w:sz="4" w:space="0"/>
              <w:bottom w:val="single" w:color="auto" w:sz="4" w:space="0"/>
              <w:right w:val="single" w:color="auto" w:sz="4" w:space="0"/>
            </w:tcBorders>
          </w:tcPr>
          <w:p w14:paraId="15ABCCF4">
            <w:pPr>
              <w:jc w:val="center"/>
              <w:rPr>
                <w:kern w:val="2"/>
                <w:sz w:val="24"/>
                <w:szCs w:val="24"/>
              </w:rPr>
            </w:pPr>
            <w:r>
              <w:rPr>
                <w:rFonts w:hint="eastAsia" w:ascii="宋体" w:hAnsi="宋体"/>
                <w:kern w:val="0"/>
                <w:sz w:val="24"/>
                <w:szCs w:val="24"/>
                <w:lang w:val="en-US" w:eastAsia="zh-CN"/>
              </w:rPr>
              <w:t>预算</w:t>
            </w:r>
            <w:r>
              <w:rPr>
                <w:rFonts w:hint="eastAsia" w:ascii="宋体" w:hAnsi="宋体"/>
                <w:kern w:val="0"/>
                <w:sz w:val="24"/>
                <w:szCs w:val="24"/>
              </w:rPr>
              <w:t>价</w:t>
            </w:r>
          </w:p>
        </w:tc>
      </w:tr>
      <w:tr w14:paraId="4C58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3292" w:type="dxa"/>
            <w:tcBorders>
              <w:top w:val="single" w:color="auto" w:sz="4" w:space="0"/>
              <w:left w:val="single" w:color="auto" w:sz="4" w:space="0"/>
              <w:bottom w:val="single" w:color="auto" w:sz="4" w:space="0"/>
              <w:right w:val="single" w:color="auto" w:sz="4" w:space="0"/>
            </w:tcBorders>
            <w:vAlign w:val="center"/>
          </w:tcPr>
          <w:p w14:paraId="4CE669DF">
            <w:pPr>
              <w:autoSpaceDE w:val="0"/>
              <w:jc w:val="center"/>
              <w:rPr>
                <w:kern w:val="2"/>
                <w:sz w:val="21"/>
              </w:rPr>
            </w:pPr>
            <w:r>
              <w:rPr>
                <w:kern w:val="0"/>
                <w:sz w:val="20"/>
              </w:rPr>
              <w:drawing>
                <wp:inline distT="0" distB="0" distL="0" distR="0">
                  <wp:extent cx="1941830" cy="189865"/>
                  <wp:effectExtent l="19050" t="0" r="1270" b="0"/>
                  <wp:docPr id="1" name="图片 1" descr="C:\Users\ADMINI~1\AppData\Local\Temp\ksohtml424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42420\wps2.jpg"/>
                          <pic:cNvPicPr>
                            <a:picLocks noChangeAspect="1" noChangeArrowheads="1"/>
                          </pic:cNvPicPr>
                        </pic:nvPicPr>
                        <pic:blipFill>
                          <a:blip r:embed="rId4"/>
                          <a:srcRect/>
                          <a:stretch>
                            <a:fillRect/>
                          </a:stretch>
                        </pic:blipFill>
                        <pic:spPr>
                          <a:xfrm>
                            <a:off x="0" y="0"/>
                            <a:ext cx="1941830" cy="189865"/>
                          </a:xfrm>
                          <a:prstGeom prst="rect">
                            <a:avLst/>
                          </a:prstGeom>
                          <a:noFill/>
                          <a:ln w="9525">
                            <a:noFill/>
                            <a:miter lim="800000"/>
                            <a:headEnd/>
                            <a:tailEnd/>
                          </a:ln>
                        </pic:spPr>
                      </pic:pic>
                    </a:graphicData>
                  </a:graphic>
                </wp:inline>
              </w:drawing>
            </w:r>
          </w:p>
        </w:tc>
        <w:tc>
          <w:tcPr>
            <w:tcW w:w="1464" w:type="dxa"/>
            <w:tcBorders>
              <w:top w:val="single" w:color="auto" w:sz="4" w:space="0"/>
              <w:left w:val="single" w:color="auto" w:sz="4" w:space="0"/>
              <w:bottom w:val="single" w:color="auto" w:sz="4" w:space="0"/>
              <w:right w:val="single" w:color="auto" w:sz="4" w:space="0"/>
            </w:tcBorders>
            <w:vAlign w:val="center"/>
          </w:tcPr>
          <w:p w14:paraId="0205D3D8">
            <w:pPr>
              <w:jc w:val="center"/>
              <w:rPr>
                <w:rFonts w:ascii="宋体" w:hAnsi="宋体"/>
                <w:kern w:val="2"/>
                <w:sz w:val="24"/>
                <w:szCs w:val="24"/>
              </w:rPr>
            </w:pPr>
            <w:r>
              <w:rPr>
                <w:rFonts w:hint="eastAsia" w:ascii="宋体" w:hAnsi="宋体"/>
                <w:kern w:val="0"/>
                <w:sz w:val="24"/>
                <w:szCs w:val="24"/>
              </w:rPr>
              <w:t>1.6m*1.6m</w:t>
            </w:r>
          </w:p>
          <w:p w14:paraId="09044162">
            <w:pPr>
              <w:jc w:val="center"/>
              <w:rPr>
                <w:rFonts w:ascii="宋体" w:hAnsi="宋体"/>
                <w:kern w:val="2"/>
                <w:sz w:val="24"/>
                <w:szCs w:val="24"/>
              </w:rPr>
            </w:pPr>
            <w:r>
              <w:rPr>
                <w:rFonts w:hint="eastAsia" w:ascii="宋体" w:hAnsi="宋体"/>
                <w:kern w:val="0"/>
                <w:sz w:val="24"/>
                <w:szCs w:val="24"/>
              </w:rPr>
              <w:t>11字</w:t>
            </w:r>
          </w:p>
        </w:tc>
        <w:tc>
          <w:tcPr>
            <w:tcW w:w="2678" w:type="dxa"/>
            <w:vMerge w:val="restart"/>
            <w:tcBorders>
              <w:top w:val="nil"/>
              <w:left w:val="single" w:color="auto" w:sz="4" w:space="0"/>
              <w:bottom w:val="single" w:color="auto" w:sz="4" w:space="0"/>
              <w:right w:val="single" w:color="auto" w:sz="4" w:space="0"/>
            </w:tcBorders>
            <w:vAlign w:val="center"/>
          </w:tcPr>
          <w:p w14:paraId="37BCC73D">
            <w:pPr>
              <w:numPr>
                <w:ilvl w:val="0"/>
                <w:numId w:val="1"/>
              </w:numPr>
              <w:autoSpaceDE w:val="0"/>
              <w:jc w:val="left"/>
              <w:rPr>
                <w:kern w:val="2"/>
                <w:sz w:val="21"/>
              </w:rPr>
            </w:pPr>
            <w:r>
              <w:rPr>
                <w:rFonts w:hint="eastAsia" w:ascii="宋体" w:hAnsi="宋体"/>
                <w:kern w:val="0"/>
                <w:sz w:val="20"/>
              </w:rPr>
              <w:t>台湾晶元或以上档次芯片；</w:t>
            </w:r>
            <w:r>
              <w:rPr>
                <w:rFonts w:hint="eastAsia"/>
                <w:kern w:val="0"/>
                <w:sz w:val="20"/>
              </w:rPr>
              <w:t xml:space="preserve"> </w:t>
            </w:r>
            <w:r>
              <w:rPr>
                <w:rFonts w:cs="Calibri"/>
                <w:kern w:val="0"/>
                <w:sz w:val="20"/>
              </w:rPr>
              <w:t xml:space="preserve">                 </w:t>
            </w:r>
          </w:p>
          <w:p w14:paraId="04E97C40">
            <w:pPr>
              <w:autoSpaceDE w:val="0"/>
              <w:rPr>
                <w:rFonts w:hint="eastAsia"/>
                <w:kern w:val="0"/>
                <w:sz w:val="20"/>
              </w:rPr>
            </w:pPr>
            <w:r>
              <w:rPr>
                <w:rFonts w:hint="eastAsia" w:cs="Calibri"/>
                <w:kern w:val="0"/>
                <w:sz w:val="20"/>
              </w:rPr>
              <w:t>2</w:t>
            </w:r>
            <w:r>
              <w:rPr>
                <w:rFonts w:hint="eastAsia" w:ascii="宋体" w:hAnsi="宋体"/>
                <w:kern w:val="0"/>
                <w:sz w:val="20"/>
              </w:rPr>
              <w:t>、</w:t>
            </w:r>
            <w:r>
              <w:rPr>
                <w:rFonts w:hint="eastAsia" w:cs="Calibri"/>
                <w:kern w:val="0"/>
                <w:sz w:val="20"/>
              </w:rPr>
              <w:t>LED</w:t>
            </w:r>
            <w:r>
              <w:rPr>
                <w:rFonts w:hint="eastAsia" w:ascii="宋体" w:hAnsi="宋体"/>
                <w:kern w:val="0"/>
                <w:sz w:val="20"/>
              </w:rPr>
              <w:t>防水光源为蓝景品牌；</w:t>
            </w:r>
          </w:p>
          <w:p w14:paraId="10FF03D5">
            <w:pPr>
              <w:autoSpaceDE w:val="0"/>
              <w:jc w:val="left"/>
              <w:rPr>
                <w:rFonts w:hint="eastAsia"/>
                <w:kern w:val="0"/>
                <w:sz w:val="20"/>
              </w:rPr>
            </w:pPr>
            <w:r>
              <w:rPr>
                <w:rFonts w:hint="eastAsia" w:cs="Calibri"/>
                <w:kern w:val="0"/>
                <w:sz w:val="20"/>
              </w:rPr>
              <w:t>3</w:t>
            </w:r>
            <w:r>
              <w:rPr>
                <w:rFonts w:hint="eastAsia" w:ascii="宋体" w:hAnsi="宋体"/>
                <w:kern w:val="0"/>
                <w:sz w:val="20"/>
              </w:rPr>
              <w:t>、户外优质防水单颗点阵防水</w:t>
            </w:r>
            <w:r>
              <w:rPr>
                <w:rFonts w:hint="eastAsia" w:cs="Calibri"/>
                <w:kern w:val="0"/>
                <w:sz w:val="20"/>
              </w:rPr>
              <w:t xml:space="preserve">LED </w:t>
            </w:r>
            <w:r>
              <w:rPr>
                <w:rFonts w:hint="eastAsia" w:ascii="宋体" w:hAnsi="宋体"/>
                <w:kern w:val="0"/>
                <w:sz w:val="20"/>
              </w:rPr>
              <w:t>模组，边对边灯距为</w:t>
            </w:r>
            <w:r>
              <w:rPr>
                <w:rFonts w:hint="eastAsia" w:cs="Calibri"/>
                <w:kern w:val="0"/>
                <w:sz w:val="20"/>
              </w:rPr>
              <w:t>3cm</w:t>
            </w:r>
            <w:r>
              <w:rPr>
                <w:rFonts w:hint="eastAsia" w:ascii="宋体" w:hAnsi="宋体"/>
                <w:kern w:val="0"/>
                <w:sz w:val="20"/>
              </w:rPr>
              <w:t>，国标</w:t>
            </w:r>
            <w:r>
              <w:rPr>
                <w:rFonts w:hint="eastAsia" w:cs="Calibri"/>
                <w:kern w:val="0"/>
                <w:sz w:val="20"/>
              </w:rPr>
              <w:t>4BV</w:t>
            </w:r>
            <w:r>
              <w:rPr>
                <w:rFonts w:hint="eastAsia" w:ascii="宋体" w:hAnsi="宋体"/>
                <w:kern w:val="0"/>
                <w:sz w:val="20"/>
              </w:rPr>
              <w:t>出线；</w:t>
            </w:r>
          </w:p>
          <w:p w14:paraId="034EDBDE">
            <w:pPr>
              <w:autoSpaceDE w:val="0"/>
              <w:jc w:val="left"/>
              <w:rPr>
                <w:rFonts w:hint="eastAsia"/>
                <w:kern w:val="0"/>
                <w:sz w:val="20"/>
              </w:rPr>
            </w:pPr>
            <w:r>
              <w:rPr>
                <w:rFonts w:hint="eastAsia" w:cs="Calibri"/>
                <w:kern w:val="0"/>
                <w:sz w:val="20"/>
              </w:rPr>
              <w:t>4</w:t>
            </w:r>
            <w:r>
              <w:rPr>
                <w:rFonts w:hint="eastAsia" w:ascii="宋体" w:hAnsi="宋体"/>
                <w:kern w:val="0"/>
                <w:sz w:val="20"/>
              </w:rPr>
              <w:t>、户外专用电路控制系统及辅材等；</w:t>
            </w:r>
          </w:p>
          <w:p w14:paraId="3EBD3B10">
            <w:pPr>
              <w:autoSpaceDE w:val="0"/>
              <w:rPr>
                <w:rFonts w:hint="eastAsia"/>
                <w:kern w:val="0"/>
                <w:sz w:val="20"/>
              </w:rPr>
            </w:pPr>
            <w:r>
              <w:rPr>
                <w:rFonts w:hint="eastAsia" w:cs="Calibri"/>
                <w:kern w:val="0"/>
                <w:sz w:val="20"/>
              </w:rPr>
              <w:t>5</w:t>
            </w:r>
            <w:r>
              <w:rPr>
                <w:rFonts w:hint="eastAsia" w:ascii="宋体" w:hAnsi="宋体"/>
                <w:kern w:val="0"/>
                <w:sz w:val="20"/>
              </w:rPr>
              <w:t>、安全终生负责；</w:t>
            </w:r>
          </w:p>
          <w:p w14:paraId="527508C2">
            <w:pPr>
              <w:autoSpaceDE w:val="0"/>
              <w:jc w:val="center"/>
              <w:rPr>
                <w:rFonts w:hint="eastAsia"/>
                <w:kern w:val="0"/>
                <w:sz w:val="20"/>
              </w:rPr>
            </w:pPr>
            <w:r>
              <w:rPr>
                <w:rFonts w:hint="eastAsia" w:cs="Calibri"/>
                <w:kern w:val="0"/>
                <w:sz w:val="20"/>
              </w:rPr>
              <w:t>6</w:t>
            </w:r>
            <w:r>
              <w:rPr>
                <w:rFonts w:hint="eastAsia" w:ascii="宋体" w:hAnsi="宋体"/>
                <w:kern w:val="0"/>
                <w:sz w:val="20"/>
              </w:rPr>
              <w:t>、</w:t>
            </w:r>
            <w:r>
              <w:rPr>
                <w:rFonts w:hint="eastAsia" w:cs="Calibri"/>
                <w:kern w:val="0"/>
                <w:sz w:val="20"/>
              </w:rPr>
              <w:t>1.5</w:t>
            </w:r>
            <w:r>
              <w:rPr>
                <w:rFonts w:hint="eastAsia" w:ascii="宋体" w:hAnsi="宋体"/>
                <w:kern w:val="0"/>
                <w:sz w:val="20"/>
              </w:rPr>
              <w:t>±</w:t>
            </w:r>
            <w:r>
              <w:rPr>
                <w:rFonts w:hint="eastAsia" w:cs="Calibri"/>
                <w:kern w:val="0"/>
                <w:sz w:val="20"/>
              </w:rPr>
              <w:t>0.2mm</w:t>
            </w:r>
            <w:r>
              <w:rPr>
                <w:rFonts w:hint="eastAsia" w:ascii="宋体" w:hAnsi="宋体"/>
                <w:kern w:val="0"/>
                <w:sz w:val="20"/>
              </w:rPr>
              <w:t>国标镀锌。数码冲孔；优质喷塑，字体内部内置镀锌支架；</w:t>
            </w:r>
          </w:p>
          <w:p w14:paraId="3214D09D">
            <w:pPr>
              <w:autoSpaceDE w:val="0"/>
              <w:jc w:val="left"/>
              <w:rPr>
                <w:rFonts w:hint="eastAsia"/>
                <w:kern w:val="0"/>
                <w:sz w:val="20"/>
              </w:rPr>
            </w:pPr>
            <w:r>
              <w:rPr>
                <w:rFonts w:hint="eastAsia" w:cs="Calibri"/>
                <w:kern w:val="0"/>
                <w:sz w:val="20"/>
              </w:rPr>
              <w:t>7</w:t>
            </w:r>
            <w:r>
              <w:rPr>
                <w:rFonts w:hint="eastAsia" w:ascii="宋体" w:hAnsi="宋体"/>
                <w:kern w:val="0"/>
                <w:sz w:val="20"/>
              </w:rPr>
              <w:t>、电路控制器及辅材：户外专用变压器（</w:t>
            </w:r>
            <w:r>
              <w:rPr>
                <w:rFonts w:hint="eastAsia" w:cs="Calibri"/>
                <w:kern w:val="0"/>
                <w:sz w:val="20"/>
              </w:rPr>
              <w:t>12V),</w:t>
            </w:r>
            <w:r>
              <w:rPr>
                <w:rFonts w:hint="eastAsia" w:ascii="宋体" w:hAnsi="宋体"/>
                <w:kern w:val="0"/>
                <w:sz w:val="20"/>
              </w:rPr>
              <w:t>交流接触器（</w:t>
            </w:r>
            <w:r>
              <w:rPr>
                <w:rFonts w:hint="eastAsia" w:cs="Calibri"/>
                <w:kern w:val="0"/>
                <w:sz w:val="20"/>
              </w:rPr>
              <w:t>15A)</w:t>
            </w:r>
            <w:r>
              <w:rPr>
                <w:rFonts w:hint="eastAsia" w:ascii="宋体" w:hAnsi="宋体"/>
                <w:kern w:val="0"/>
                <w:sz w:val="20"/>
              </w:rPr>
              <w:t>，主电源位于楼顶层；</w:t>
            </w:r>
          </w:p>
          <w:p w14:paraId="4EE21B8E">
            <w:pPr>
              <w:autoSpaceDE w:val="0"/>
              <w:jc w:val="left"/>
              <w:rPr>
                <w:rFonts w:hint="eastAsia"/>
                <w:kern w:val="0"/>
                <w:sz w:val="20"/>
              </w:rPr>
            </w:pPr>
            <w:r>
              <w:rPr>
                <w:rFonts w:hint="eastAsia" w:cs="Calibri"/>
                <w:kern w:val="0"/>
                <w:sz w:val="20"/>
              </w:rPr>
              <w:t>8</w:t>
            </w:r>
            <w:r>
              <w:rPr>
                <w:rFonts w:hint="eastAsia" w:ascii="宋体" w:hAnsi="宋体"/>
                <w:kern w:val="0"/>
                <w:sz w:val="20"/>
              </w:rPr>
              <w:t>、须根据风压等高空负荷要求加固骨架，其中字体加固骨架应隐藏于笔画中，外涂刷与钢结构同色油漆；</w:t>
            </w:r>
          </w:p>
          <w:p w14:paraId="7CBAC6D1">
            <w:pPr>
              <w:numPr>
                <w:ilvl w:val="0"/>
                <w:numId w:val="2"/>
              </w:numPr>
              <w:autoSpaceDE w:val="0"/>
              <w:rPr>
                <w:rFonts w:hint="eastAsia"/>
                <w:kern w:val="0"/>
                <w:sz w:val="20"/>
              </w:rPr>
            </w:pPr>
            <w:bookmarkStart w:id="0" w:name="OLE_LINK1"/>
            <w:r>
              <w:rPr>
                <w:rFonts w:hint="eastAsia" w:ascii="宋体" w:hAnsi="宋体"/>
                <w:kern w:val="0"/>
                <w:sz w:val="20"/>
              </w:rPr>
              <w:t>质保期两年；</w:t>
            </w:r>
            <w:bookmarkEnd w:id="0"/>
          </w:p>
          <w:p w14:paraId="601C3972">
            <w:pPr>
              <w:numPr>
                <w:ilvl w:val="0"/>
                <w:numId w:val="2"/>
              </w:numPr>
              <w:autoSpaceDE w:val="0"/>
              <w:rPr>
                <w:rFonts w:hint="eastAsia"/>
                <w:kern w:val="0"/>
                <w:sz w:val="20"/>
              </w:rPr>
            </w:pPr>
            <w:r>
              <w:rPr>
                <w:rFonts w:hint="eastAsia" w:ascii="宋体" w:hAnsi="宋体"/>
                <w:kern w:val="0"/>
                <w:sz w:val="20"/>
              </w:rPr>
              <w:t>每组大字不少于</w:t>
            </w:r>
            <w:r>
              <w:rPr>
                <w:rFonts w:hint="eastAsia" w:cs="Calibri"/>
                <w:kern w:val="0"/>
                <w:sz w:val="20"/>
              </w:rPr>
              <w:t>2</w:t>
            </w:r>
            <w:r>
              <w:rPr>
                <w:rFonts w:hint="eastAsia" w:ascii="宋体" w:hAnsi="宋体"/>
                <w:kern w:val="0"/>
                <w:sz w:val="20"/>
              </w:rPr>
              <w:t>台</w:t>
            </w:r>
            <w:r>
              <w:rPr>
                <w:rFonts w:hint="eastAsia" w:cs="Calibri"/>
                <w:kern w:val="0"/>
                <w:sz w:val="20"/>
              </w:rPr>
              <w:t>350w</w:t>
            </w:r>
            <w:r>
              <w:rPr>
                <w:rFonts w:hint="eastAsia" w:ascii="宋体" w:hAnsi="宋体"/>
                <w:kern w:val="0"/>
                <w:sz w:val="20"/>
              </w:rPr>
              <w:t>变压器；</w:t>
            </w:r>
          </w:p>
          <w:p w14:paraId="38B60BD5">
            <w:pPr>
              <w:numPr>
                <w:ilvl w:val="0"/>
                <w:numId w:val="2"/>
              </w:numPr>
              <w:autoSpaceDE w:val="0"/>
              <w:rPr>
                <w:kern w:val="2"/>
                <w:sz w:val="21"/>
              </w:rPr>
            </w:pPr>
            <w:r>
              <w:rPr>
                <w:rFonts w:hint="eastAsia" w:ascii="宋体" w:hAnsi="宋体"/>
                <w:kern w:val="0"/>
                <w:sz w:val="20"/>
              </w:rPr>
              <w:t>包含安装运输。</w:t>
            </w:r>
          </w:p>
        </w:tc>
        <w:tc>
          <w:tcPr>
            <w:tcW w:w="1088" w:type="dxa"/>
            <w:tcBorders>
              <w:top w:val="single" w:color="auto" w:sz="4" w:space="0"/>
              <w:left w:val="single" w:color="auto" w:sz="4" w:space="0"/>
              <w:bottom w:val="single" w:color="auto" w:sz="4" w:space="0"/>
              <w:right w:val="single" w:color="auto" w:sz="4" w:space="0"/>
            </w:tcBorders>
            <w:vAlign w:val="center"/>
          </w:tcPr>
          <w:p w14:paraId="352769CB">
            <w:pPr>
              <w:jc w:val="center"/>
              <w:rPr>
                <w:rFonts w:hint="default" w:eastAsia="宋体"/>
                <w:kern w:val="2"/>
                <w:sz w:val="24"/>
                <w:szCs w:val="24"/>
                <w:lang w:val="en-US" w:eastAsia="zh-CN"/>
              </w:rPr>
            </w:pPr>
            <w:r>
              <w:rPr>
                <w:rFonts w:hint="eastAsia" w:cs="Calibri"/>
                <w:kern w:val="0"/>
                <w:sz w:val="24"/>
                <w:szCs w:val="24"/>
              </w:rPr>
              <w:t>1</w:t>
            </w:r>
            <w:r>
              <w:rPr>
                <w:rFonts w:hint="eastAsia" w:cs="Calibri"/>
                <w:kern w:val="0"/>
                <w:sz w:val="24"/>
                <w:szCs w:val="24"/>
                <w:lang w:val="en-US" w:eastAsia="zh-CN"/>
              </w:rPr>
              <w:t>1000</w:t>
            </w:r>
          </w:p>
        </w:tc>
      </w:tr>
      <w:tr w14:paraId="28BF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3292" w:type="dxa"/>
            <w:tcBorders>
              <w:top w:val="single" w:color="auto" w:sz="4" w:space="0"/>
              <w:left w:val="single" w:color="auto" w:sz="4" w:space="0"/>
              <w:bottom w:val="single" w:color="auto" w:sz="4" w:space="0"/>
              <w:right w:val="single" w:color="auto" w:sz="4" w:space="0"/>
            </w:tcBorders>
            <w:vAlign w:val="center"/>
          </w:tcPr>
          <w:p w14:paraId="18E74DC9">
            <w:pPr>
              <w:autoSpaceDE w:val="0"/>
              <w:jc w:val="center"/>
              <w:rPr>
                <w:kern w:val="2"/>
                <w:sz w:val="21"/>
              </w:rPr>
            </w:pPr>
            <w:r>
              <w:rPr>
                <w:kern w:val="0"/>
                <w:sz w:val="20"/>
              </w:rPr>
              <w:drawing>
                <wp:inline distT="0" distB="0" distL="0" distR="0">
                  <wp:extent cx="1941830" cy="77470"/>
                  <wp:effectExtent l="19050" t="0" r="1270" b="0"/>
                  <wp:docPr id="2" name="图片 2" descr="C:\Users\ADMINI~1\AppData\Local\Temp\ksohtml424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42420\wps3.jpg"/>
                          <pic:cNvPicPr>
                            <a:picLocks noChangeAspect="1" noChangeArrowheads="1"/>
                          </pic:cNvPicPr>
                        </pic:nvPicPr>
                        <pic:blipFill>
                          <a:blip r:embed="rId5"/>
                          <a:srcRect/>
                          <a:stretch>
                            <a:fillRect/>
                          </a:stretch>
                        </pic:blipFill>
                        <pic:spPr>
                          <a:xfrm>
                            <a:off x="0" y="0"/>
                            <a:ext cx="1941830" cy="77470"/>
                          </a:xfrm>
                          <a:prstGeom prst="rect">
                            <a:avLst/>
                          </a:prstGeom>
                          <a:noFill/>
                          <a:ln w="9525">
                            <a:noFill/>
                            <a:miter lim="800000"/>
                            <a:headEnd/>
                            <a:tailEnd/>
                          </a:ln>
                        </pic:spPr>
                      </pic:pic>
                    </a:graphicData>
                  </a:graphic>
                </wp:inline>
              </w:drawing>
            </w:r>
          </w:p>
        </w:tc>
        <w:tc>
          <w:tcPr>
            <w:tcW w:w="1464" w:type="dxa"/>
            <w:tcBorders>
              <w:top w:val="single" w:color="auto" w:sz="4" w:space="0"/>
              <w:left w:val="single" w:color="auto" w:sz="4" w:space="0"/>
              <w:bottom w:val="single" w:color="auto" w:sz="4" w:space="0"/>
              <w:right w:val="single" w:color="auto" w:sz="4" w:space="0"/>
            </w:tcBorders>
            <w:vAlign w:val="center"/>
          </w:tcPr>
          <w:p w14:paraId="751979AB">
            <w:pPr>
              <w:jc w:val="center"/>
              <w:rPr>
                <w:rFonts w:ascii="宋体" w:hAnsi="宋体"/>
                <w:kern w:val="2"/>
                <w:sz w:val="24"/>
                <w:szCs w:val="24"/>
              </w:rPr>
            </w:pPr>
            <w:r>
              <w:rPr>
                <w:rFonts w:hint="eastAsia" w:ascii="宋体" w:hAnsi="宋体"/>
                <w:kern w:val="0"/>
                <w:sz w:val="24"/>
                <w:szCs w:val="24"/>
              </w:rPr>
              <w:t>0.5m*41字</w:t>
            </w:r>
          </w:p>
        </w:tc>
        <w:tc>
          <w:tcPr>
            <w:tcW w:w="2678" w:type="dxa"/>
            <w:vMerge w:val="continue"/>
            <w:tcBorders>
              <w:top w:val="nil"/>
              <w:left w:val="single" w:color="auto" w:sz="4" w:space="0"/>
              <w:bottom w:val="single" w:color="auto" w:sz="4" w:space="0"/>
              <w:right w:val="single" w:color="auto" w:sz="4" w:space="0"/>
            </w:tcBorders>
            <w:vAlign w:val="center"/>
          </w:tcPr>
          <w:p w14:paraId="06827438">
            <w:pPr>
              <w:widowControl/>
              <w:jc w:val="left"/>
              <w:rPr>
                <w:kern w:val="2"/>
                <w:sz w:val="21"/>
              </w:rPr>
            </w:pPr>
          </w:p>
        </w:tc>
        <w:tc>
          <w:tcPr>
            <w:tcW w:w="1088" w:type="dxa"/>
            <w:tcBorders>
              <w:top w:val="single" w:color="auto" w:sz="4" w:space="0"/>
              <w:left w:val="single" w:color="auto" w:sz="4" w:space="0"/>
              <w:bottom w:val="single" w:color="auto" w:sz="4" w:space="0"/>
              <w:right w:val="single" w:color="auto" w:sz="4" w:space="0"/>
            </w:tcBorders>
            <w:vAlign w:val="center"/>
          </w:tcPr>
          <w:p w14:paraId="5C59E3B6">
            <w:pPr>
              <w:jc w:val="center"/>
              <w:rPr>
                <w:kern w:val="2"/>
                <w:sz w:val="24"/>
                <w:szCs w:val="24"/>
              </w:rPr>
            </w:pPr>
            <w:r>
              <w:rPr>
                <w:rFonts w:hint="eastAsia" w:cs="Calibri"/>
                <w:kern w:val="0"/>
                <w:sz w:val="24"/>
                <w:szCs w:val="24"/>
                <w:lang w:val="en-US" w:eastAsia="zh-CN"/>
              </w:rPr>
              <w:t>700</w:t>
            </w:r>
            <w:r>
              <w:rPr>
                <w:rFonts w:hint="eastAsia" w:cs="Calibri"/>
                <w:kern w:val="0"/>
                <w:sz w:val="24"/>
                <w:szCs w:val="24"/>
              </w:rPr>
              <w:t>0</w:t>
            </w:r>
          </w:p>
        </w:tc>
      </w:tr>
      <w:tr w14:paraId="0918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Borders>
              <w:top w:val="single" w:color="auto" w:sz="4" w:space="0"/>
              <w:left w:val="single" w:color="auto" w:sz="4" w:space="0"/>
              <w:bottom w:val="single" w:color="auto" w:sz="4" w:space="0"/>
              <w:right w:val="single" w:color="auto" w:sz="4" w:space="0"/>
            </w:tcBorders>
            <w:vAlign w:val="center"/>
          </w:tcPr>
          <w:p w14:paraId="62007EC3">
            <w:pPr>
              <w:autoSpaceDE w:val="0"/>
              <w:jc w:val="center"/>
              <w:rPr>
                <w:rFonts w:hint="default" w:eastAsia="宋体"/>
                <w:kern w:val="2"/>
                <w:sz w:val="21"/>
                <w:lang w:val="en-US" w:eastAsia="zh-CN"/>
              </w:rPr>
            </w:pPr>
            <w:r>
              <w:rPr>
                <w:kern w:val="0"/>
                <w:sz w:val="20"/>
              </w:rPr>
              <w:drawing>
                <wp:inline distT="0" distB="0" distL="0" distR="0">
                  <wp:extent cx="1906270" cy="522605"/>
                  <wp:effectExtent l="19050" t="0" r="0" b="0"/>
                  <wp:docPr id="3" name="图片 3" descr="C:\Users\ADMINI~1\AppData\Local\Temp\ksohtml42420\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ksohtml42420\wps4.jpg"/>
                          <pic:cNvPicPr>
                            <a:picLocks noChangeAspect="1" noChangeArrowheads="1"/>
                          </pic:cNvPicPr>
                        </pic:nvPicPr>
                        <pic:blipFill>
                          <a:blip r:embed="rId6"/>
                          <a:srcRect/>
                          <a:stretch>
                            <a:fillRect/>
                          </a:stretch>
                        </pic:blipFill>
                        <pic:spPr>
                          <a:xfrm>
                            <a:off x="0" y="0"/>
                            <a:ext cx="1906270" cy="522605"/>
                          </a:xfrm>
                          <a:prstGeom prst="rect">
                            <a:avLst/>
                          </a:prstGeom>
                          <a:noFill/>
                          <a:ln w="9525">
                            <a:noFill/>
                            <a:miter lim="800000"/>
                            <a:headEnd/>
                            <a:tailEnd/>
                          </a:ln>
                        </pic:spPr>
                      </pic:pic>
                    </a:graphicData>
                  </a:graphic>
                </wp:inline>
              </w:drawing>
            </w:r>
            <w:r>
              <w:rPr>
                <w:rFonts w:hint="eastAsia" w:ascii="宋体" w:hAnsi="宋体"/>
                <w:kern w:val="0"/>
                <w:sz w:val="20"/>
              </w:rPr>
              <w:t>拆</w:t>
            </w:r>
            <w:r>
              <w:rPr>
                <w:rFonts w:hint="eastAsia" w:ascii="宋体" w:hAnsi="宋体"/>
                <w:kern w:val="0"/>
                <w:sz w:val="20"/>
                <w:lang w:val="en-US" w:eastAsia="zh-CN"/>
              </w:rPr>
              <w:t>移</w:t>
            </w:r>
            <w:r>
              <w:rPr>
                <w:rFonts w:hint="eastAsia" w:ascii="宋体" w:hAnsi="宋体"/>
                <w:kern w:val="0"/>
                <w:sz w:val="20"/>
              </w:rPr>
              <w:t>原来字、电源全部重新安装</w:t>
            </w:r>
            <w:r>
              <w:rPr>
                <w:rFonts w:hint="eastAsia" w:ascii="宋体" w:hAnsi="宋体"/>
                <w:kern w:val="0"/>
                <w:sz w:val="20"/>
                <w:lang w:val="en-US" w:eastAsia="zh-CN"/>
              </w:rPr>
              <w:t>到指定位置（门诊四楼楼顶）</w:t>
            </w:r>
            <w:bookmarkStart w:id="1" w:name="_GoBack"/>
            <w:bookmarkEnd w:id="1"/>
          </w:p>
        </w:tc>
        <w:tc>
          <w:tcPr>
            <w:tcW w:w="1464" w:type="dxa"/>
            <w:tcBorders>
              <w:top w:val="single" w:color="auto" w:sz="4" w:space="0"/>
              <w:left w:val="single" w:color="auto" w:sz="4" w:space="0"/>
              <w:bottom w:val="single" w:color="auto" w:sz="4" w:space="0"/>
              <w:right w:val="single" w:color="auto" w:sz="4" w:space="0"/>
            </w:tcBorders>
            <w:vAlign w:val="center"/>
          </w:tcPr>
          <w:p w14:paraId="739CCE66">
            <w:pPr>
              <w:jc w:val="center"/>
              <w:rPr>
                <w:rFonts w:ascii="宋体" w:hAnsi="宋体"/>
                <w:kern w:val="2"/>
                <w:sz w:val="24"/>
                <w:szCs w:val="24"/>
              </w:rPr>
            </w:pPr>
          </w:p>
        </w:tc>
        <w:tc>
          <w:tcPr>
            <w:tcW w:w="2678" w:type="dxa"/>
            <w:vMerge w:val="continue"/>
            <w:tcBorders>
              <w:top w:val="nil"/>
              <w:left w:val="single" w:color="auto" w:sz="4" w:space="0"/>
              <w:bottom w:val="single" w:color="auto" w:sz="4" w:space="0"/>
              <w:right w:val="single" w:color="auto" w:sz="4" w:space="0"/>
            </w:tcBorders>
            <w:vAlign w:val="center"/>
          </w:tcPr>
          <w:p w14:paraId="73C28369">
            <w:pPr>
              <w:widowControl/>
              <w:jc w:val="left"/>
              <w:rPr>
                <w:kern w:val="2"/>
                <w:sz w:val="21"/>
              </w:rPr>
            </w:pPr>
          </w:p>
        </w:tc>
        <w:tc>
          <w:tcPr>
            <w:tcW w:w="1088" w:type="dxa"/>
            <w:tcBorders>
              <w:top w:val="single" w:color="auto" w:sz="4" w:space="0"/>
              <w:left w:val="single" w:color="auto" w:sz="4" w:space="0"/>
              <w:bottom w:val="single" w:color="auto" w:sz="4" w:space="0"/>
              <w:right w:val="single" w:color="auto" w:sz="4" w:space="0"/>
            </w:tcBorders>
            <w:vAlign w:val="center"/>
          </w:tcPr>
          <w:p w14:paraId="63B0CD06">
            <w:pPr>
              <w:jc w:val="center"/>
              <w:rPr>
                <w:kern w:val="2"/>
                <w:sz w:val="24"/>
                <w:szCs w:val="24"/>
              </w:rPr>
            </w:pPr>
            <w:r>
              <w:rPr>
                <w:rFonts w:hint="eastAsia" w:cs="Calibri"/>
                <w:kern w:val="0"/>
                <w:sz w:val="24"/>
                <w:szCs w:val="24"/>
              </w:rPr>
              <w:t>6000</w:t>
            </w:r>
          </w:p>
        </w:tc>
      </w:tr>
      <w:tr w14:paraId="776E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34" w:type="dxa"/>
            <w:gridSpan w:val="3"/>
            <w:tcBorders>
              <w:top w:val="single" w:color="auto" w:sz="4" w:space="0"/>
              <w:left w:val="single" w:color="auto" w:sz="4" w:space="0"/>
              <w:bottom w:val="single" w:color="auto" w:sz="4" w:space="0"/>
              <w:right w:val="single" w:color="auto" w:sz="4" w:space="0"/>
            </w:tcBorders>
            <w:vAlign w:val="center"/>
          </w:tcPr>
          <w:p w14:paraId="7D154383">
            <w:pPr>
              <w:autoSpaceDE w:val="0"/>
              <w:spacing w:line="400" w:lineRule="exact"/>
              <w:jc w:val="center"/>
              <w:rPr>
                <w:kern w:val="2"/>
                <w:sz w:val="21"/>
              </w:rPr>
            </w:pPr>
            <w:r>
              <w:rPr>
                <w:rFonts w:hint="eastAsia" w:ascii="宋体" w:hAnsi="宋体"/>
                <w:kern w:val="0"/>
                <w:sz w:val="20"/>
              </w:rPr>
              <w:t>总价</w:t>
            </w:r>
          </w:p>
        </w:tc>
        <w:tc>
          <w:tcPr>
            <w:tcW w:w="1088" w:type="dxa"/>
            <w:tcBorders>
              <w:top w:val="single" w:color="auto" w:sz="4" w:space="0"/>
              <w:left w:val="single" w:color="auto" w:sz="4" w:space="0"/>
              <w:bottom w:val="single" w:color="auto" w:sz="4" w:space="0"/>
              <w:right w:val="single" w:color="auto" w:sz="4" w:space="0"/>
            </w:tcBorders>
            <w:vAlign w:val="center"/>
          </w:tcPr>
          <w:p w14:paraId="6ED4AB18">
            <w:pPr>
              <w:jc w:val="center"/>
              <w:rPr>
                <w:rFonts w:hint="default" w:eastAsia="宋体"/>
                <w:kern w:val="2"/>
                <w:sz w:val="28"/>
                <w:szCs w:val="28"/>
                <w:lang w:val="en-US" w:eastAsia="zh-CN"/>
              </w:rPr>
            </w:pPr>
            <w:r>
              <w:rPr>
                <w:rFonts w:hint="eastAsia" w:cs="Calibri"/>
                <w:kern w:val="0"/>
                <w:sz w:val="24"/>
                <w:szCs w:val="24"/>
                <w:lang w:val="en-US" w:eastAsia="zh-CN"/>
              </w:rPr>
              <w:t>24000</w:t>
            </w:r>
          </w:p>
        </w:tc>
      </w:tr>
    </w:tbl>
    <w:p w14:paraId="67E4FA2F">
      <w:pPr>
        <w:spacing w:line="360" w:lineRule="auto"/>
        <w:ind w:firstLine="422" w:firstLineChars="200"/>
        <w:rPr>
          <w:rFonts w:ascii="宋体" w:hAnsi="宋体"/>
          <w:b/>
          <w:bCs/>
          <w:color w:val="FF0000"/>
        </w:rPr>
      </w:pPr>
      <w:r>
        <w:rPr>
          <w:rFonts w:hint="eastAsia" w:ascii="宋体" w:hAnsi="宋体"/>
          <w:b/>
          <w:bCs/>
          <w:color w:val="FF0000"/>
        </w:rPr>
        <w:t>备注：</w:t>
      </w:r>
    </w:p>
    <w:p w14:paraId="58754F0B">
      <w:pPr>
        <w:spacing w:line="360" w:lineRule="auto"/>
        <w:ind w:firstLine="422" w:firstLineChars="200"/>
        <w:rPr>
          <w:rFonts w:hint="eastAsia" w:ascii="宋体" w:hAnsi="宋体"/>
          <w:b/>
          <w:bCs/>
          <w:color w:val="FF0000"/>
        </w:rPr>
      </w:pPr>
      <w:r>
        <w:rPr>
          <w:rFonts w:hint="eastAsia" w:ascii="宋体" w:hAnsi="宋体"/>
          <w:b/>
          <w:bCs/>
          <w:color w:val="FF0000"/>
        </w:rPr>
        <w:t>1、实地勘察现场接洽，并出具效果图。效果图放在招标文件内，作为评审依据；</w:t>
      </w:r>
    </w:p>
    <w:p w14:paraId="36739993">
      <w:pPr>
        <w:spacing w:line="360" w:lineRule="auto"/>
        <w:ind w:firstLine="422" w:firstLineChars="200"/>
        <w:rPr>
          <w:rFonts w:hint="eastAsia" w:ascii="宋体" w:hAnsi="宋体"/>
          <w:b/>
          <w:bCs/>
          <w:color w:val="FF0000"/>
        </w:rPr>
      </w:pPr>
      <w:r>
        <w:rPr>
          <w:rFonts w:hint="eastAsia" w:ascii="宋体" w:hAnsi="宋体"/>
          <w:b/>
          <w:bCs/>
          <w:color w:val="FF0000"/>
        </w:rPr>
        <w:t>2、质保期内出现任何问题免费更换或维修；</w:t>
      </w:r>
    </w:p>
    <w:p w14:paraId="323718BD">
      <w:pPr>
        <w:spacing w:line="360" w:lineRule="auto"/>
        <w:ind w:firstLine="422" w:firstLineChars="200"/>
        <w:rPr>
          <w:rFonts w:hint="eastAsia" w:ascii="宋体" w:hAnsi="宋体"/>
          <w:b/>
          <w:bCs/>
          <w:color w:val="FF0000"/>
        </w:rPr>
      </w:pPr>
      <w:r>
        <w:rPr>
          <w:rFonts w:hint="eastAsia" w:ascii="宋体" w:hAnsi="宋体"/>
          <w:b/>
          <w:bCs/>
          <w:color w:val="FF0000"/>
        </w:rPr>
        <w:t>3、相关英文标识待院方进一步核对确认；</w:t>
      </w:r>
    </w:p>
    <w:p w14:paraId="1F06362F">
      <w:pPr>
        <w:spacing w:line="360" w:lineRule="auto"/>
        <w:ind w:firstLine="422" w:firstLineChars="200"/>
        <w:rPr>
          <w:rFonts w:hint="eastAsia" w:ascii="宋体" w:hAnsi="宋体"/>
          <w:color w:val="FF0000"/>
        </w:rPr>
      </w:pPr>
      <w:r>
        <w:rPr>
          <w:rFonts w:hint="eastAsia" w:ascii="宋体" w:hAnsi="宋体"/>
          <w:b/>
          <w:bCs/>
          <w:color w:val="FF0000"/>
        </w:rPr>
        <w:t>4、采购需求表中列明的品名、规格、技术参数必须全部符合，如验收时发现不合格，院方有权解除合同并追究相关违约赔偿责任，违约赔偿金额为中标合同金额的10%；</w:t>
      </w:r>
    </w:p>
    <w:p w14:paraId="259B071B">
      <w:pPr>
        <w:adjustRightInd w:val="0"/>
        <w:snapToGrid w:val="0"/>
        <w:spacing w:line="360" w:lineRule="auto"/>
        <w:jc w:val="left"/>
        <w:rPr>
          <w:rFonts w:hint="eastAsia" w:ascii="宋体" w:hAnsi="宋体"/>
          <w:b/>
          <w:bCs/>
          <w:color w:val="000000"/>
          <w:sz w:val="24"/>
          <w:szCs w:val="24"/>
        </w:rPr>
      </w:pPr>
      <w:r>
        <w:rPr>
          <w:rFonts w:hint="eastAsia" w:ascii="宋体" w:hAnsi="宋体"/>
          <w:b/>
          <w:bCs/>
          <w:color w:val="000000"/>
          <w:sz w:val="24"/>
          <w:szCs w:val="24"/>
        </w:rPr>
        <w:t>三、质量及验收要求</w:t>
      </w:r>
    </w:p>
    <w:p w14:paraId="0C2C79C2">
      <w:pPr>
        <w:ind w:firstLine="210" w:firstLineChars="100"/>
        <w:rPr>
          <w:rFonts w:hint="eastAsia" w:ascii="宋体" w:hAnsi="宋体"/>
        </w:rPr>
      </w:pPr>
      <w:r>
        <w:rPr>
          <w:rFonts w:hint="eastAsia" w:ascii="宋体" w:hAnsi="宋体"/>
        </w:rPr>
        <w:t>1、货物质量：中标方提供的货物必须完全符合国家规定的质量标准和相关行业标准；</w:t>
      </w:r>
    </w:p>
    <w:p w14:paraId="7E22633E">
      <w:pPr>
        <w:spacing w:line="430" w:lineRule="exact"/>
        <w:ind w:firstLine="210" w:firstLineChars="100"/>
        <w:rPr>
          <w:rFonts w:hint="eastAsia" w:ascii="宋体" w:hAnsi="宋体"/>
        </w:rPr>
      </w:pPr>
      <w:r>
        <w:rPr>
          <w:rFonts w:hint="eastAsia" w:ascii="宋体" w:hAnsi="宋体"/>
        </w:rPr>
        <w:t xml:space="preserve">2、验收：货物到场安装完成后，由总务科组织相关部门会同中标方一起验收，如因中标方所供货物不符，造成返工等问题，均由中标方承担；若中标方所供货物存在使用和质量问题，采购方有权拒收；    </w:t>
      </w:r>
    </w:p>
    <w:p w14:paraId="3538D5C7">
      <w:pPr>
        <w:spacing w:line="430" w:lineRule="exact"/>
        <w:ind w:firstLine="210" w:firstLineChars="100"/>
        <w:rPr>
          <w:rFonts w:hint="eastAsia" w:ascii="宋体" w:hAnsi="宋体"/>
          <w:color w:val="C00000"/>
        </w:rPr>
      </w:pPr>
      <w:r>
        <w:rPr>
          <w:rFonts w:hint="eastAsia" w:ascii="宋体" w:hAnsi="宋体"/>
        </w:rPr>
        <w:t>3、投标单位必须有完善的售后服务体系，中标后须提供一名联系人员姓名、联系方式。</w:t>
      </w:r>
    </w:p>
    <w:p w14:paraId="7E68536D">
      <w:pPr>
        <w:adjustRightInd w:val="0"/>
        <w:snapToGrid w:val="0"/>
        <w:spacing w:line="360" w:lineRule="auto"/>
        <w:jc w:val="left"/>
        <w:rPr>
          <w:rFonts w:hint="eastAsia" w:ascii="宋体" w:hAnsi="宋体"/>
          <w:b/>
          <w:bCs/>
        </w:rPr>
      </w:pPr>
      <w:r>
        <w:rPr>
          <w:rFonts w:hint="eastAsia" w:ascii="宋体" w:hAnsi="宋体"/>
          <w:b/>
          <w:bCs/>
        </w:rPr>
        <w:t>四、报价要求</w:t>
      </w:r>
    </w:p>
    <w:p w14:paraId="39FCF6BF">
      <w:pPr>
        <w:adjustRightInd w:val="0"/>
        <w:snapToGrid w:val="0"/>
        <w:spacing w:line="360" w:lineRule="auto"/>
        <w:ind w:firstLine="420" w:firstLineChars="200"/>
        <w:jc w:val="left"/>
        <w:rPr>
          <w:rFonts w:hint="eastAsia" w:ascii="宋体" w:hAnsi="宋体"/>
        </w:rPr>
      </w:pPr>
      <w:r>
        <w:rPr>
          <w:rFonts w:hint="eastAsia" w:ascii="宋体" w:hAnsi="宋体"/>
        </w:rPr>
        <w:t>按照采购需求列表报</w:t>
      </w:r>
      <w:r>
        <w:rPr>
          <w:rFonts w:hint="eastAsia" w:ascii="宋体" w:hAnsi="宋体"/>
          <w:b/>
          <w:bCs/>
          <w:color w:val="000000"/>
        </w:rPr>
        <w:t>单价、总价，以总价为评审依据。</w:t>
      </w:r>
    </w:p>
    <w:p w14:paraId="49D8EA47">
      <w:pPr>
        <w:adjustRightInd w:val="0"/>
        <w:snapToGrid w:val="0"/>
        <w:spacing w:line="360" w:lineRule="auto"/>
        <w:jc w:val="left"/>
        <w:rPr>
          <w:rFonts w:hint="eastAsia" w:ascii="宋体" w:hAnsi="宋体"/>
          <w:b/>
          <w:bCs/>
        </w:rPr>
      </w:pPr>
      <w:r>
        <w:rPr>
          <w:rFonts w:hint="eastAsia" w:ascii="宋体" w:hAnsi="宋体"/>
          <w:b/>
          <w:bCs/>
        </w:rPr>
        <w:t>五、商务要求</w:t>
      </w:r>
    </w:p>
    <w:p w14:paraId="03DC6AC1">
      <w:pPr>
        <w:rPr>
          <w:rFonts w:hint="eastAsia" w:ascii="宋体" w:hAnsi="宋体"/>
          <w:b/>
          <w:bCs/>
        </w:rPr>
      </w:pPr>
      <w:r>
        <w:rPr>
          <w:rFonts w:hint="eastAsia" w:ascii="宋体" w:hAnsi="宋体"/>
          <w:b/>
          <w:bCs/>
        </w:rPr>
        <w:t xml:space="preserve">       </w:t>
      </w:r>
    </w:p>
    <w:tbl>
      <w:tblPr>
        <w:tblStyle w:val="3"/>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68"/>
        <w:gridCol w:w="6175"/>
      </w:tblGrid>
      <w:tr w14:paraId="0A07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96" w:type="dxa"/>
            <w:tcBorders>
              <w:top w:val="single" w:color="auto" w:sz="4" w:space="0"/>
              <w:left w:val="single" w:color="auto" w:sz="4" w:space="0"/>
              <w:bottom w:val="single" w:color="auto" w:sz="4" w:space="0"/>
              <w:right w:val="single" w:color="auto" w:sz="4" w:space="0"/>
            </w:tcBorders>
            <w:vAlign w:val="center"/>
          </w:tcPr>
          <w:p w14:paraId="33CA4988">
            <w:pPr>
              <w:jc w:val="center"/>
              <w:rPr>
                <w:rFonts w:ascii="宋体" w:hAnsi="宋体"/>
                <w:b/>
                <w:bCs/>
              </w:rPr>
            </w:pPr>
            <w:r>
              <w:rPr>
                <w:rFonts w:hint="eastAsia" w:ascii="宋体" w:hAnsi="宋体"/>
                <w:b/>
                <w:bCs/>
              </w:rPr>
              <w:t>序号</w:t>
            </w:r>
          </w:p>
        </w:tc>
        <w:tc>
          <w:tcPr>
            <w:tcW w:w="1668" w:type="dxa"/>
            <w:tcBorders>
              <w:top w:val="single" w:color="auto" w:sz="4" w:space="0"/>
              <w:left w:val="single" w:color="auto" w:sz="4" w:space="0"/>
              <w:bottom w:val="single" w:color="auto" w:sz="4" w:space="0"/>
              <w:right w:val="single" w:color="auto" w:sz="4" w:space="0"/>
            </w:tcBorders>
            <w:vAlign w:val="center"/>
          </w:tcPr>
          <w:p w14:paraId="4CFB1398">
            <w:pPr>
              <w:jc w:val="center"/>
              <w:rPr>
                <w:rFonts w:ascii="宋体" w:hAnsi="宋体"/>
                <w:b/>
                <w:bCs/>
              </w:rPr>
            </w:pPr>
            <w:r>
              <w:rPr>
                <w:rFonts w:hint="eastAsia" w:ascii="宋体" w:hAnsi="宋体"/>
                <w:b/>
                <w:bCs/>
              </w:rPr>
              <w:t>内容</w:t>
            </w:r>
          </w:p>
        </w:tc>
        <w:tc>
          <w:tcPr>
            <w:tcW w:w="6175" w:type="dxa"/>
            <w:tcBorders>
              <w:top w:val="single" w:color="auto" w:sz="4" w:space="0"/>
              <w:left w:val="single" w:color="auto" w:sz="4" w:space="0"/>
              <w:bottom w:val="single" w:color="auto" w:sz="4" w:space="0"/>
              <w:right w:val="single" w:color="auto" w:sz="4" w:space="0"/>
            </w:tcBorders>
            <w:vAlign w:val="center"/>
          </w:tcPr>
          <w:p w14:paraId="696FDF2C">
            <w:pPr>
              <w:jc w:val="center"/>
              <w:rPr>
                <w:rFonts w:ascii="宋体" w:hAnsi="宋体"/>
                <w:b/>
                <w:bCs/>
              </w:rPr>
            </w:pPr>
            <w:r>
              <w:rPr>
                <w:rFonts w:hint="eastAsia" w:ascii="宋体" w:hAnsi="宋体"/>
                <w:b/>
                <w:bCs/>
              </w:rPr>
              <w:t>要求</w:t>
            </w:r>
          </w:p>
        </w:tc>
      </w:tr>
      <w:tr w14:paraId="6674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6" w:type="dxa"/>
            <w:tcBorders>
              <w:top w:val="single" w:color="auto" w:sz="4" w:space="0"/>
              <w:left w:val="single" w:color="auto" w:sz="4" w:space="0"/>
              <w:bottom w:val="single" w:color="auto" w:sz="4" w:space="0"/>
              <w:right w:val="single" w:color="auto" w:sz="4" w:space="0"/>
            </w:tcBorders>
            <w:vAlign w:val="center"/>
          </w:tcPr>
          <w:p w14:paraId="7BAB93B8">
            <w:pPr>
              <w:spacing w:line="500" w:lineRule="exact"/>
              <w:jc w:val="center"/>
              <w:rPr>
                <w:rFonts w:ascii="宋体" w:hAnsi="宋体"/>
                <w:b/>
                <w:bCs/>
              </w:rPr>
            </w:pPr>
            <w:r>
              <w:rPr>
                <w:rFonts w:hint="eastAsia" w:ascii="宋体" w:hAnsi="宋体"/>
                <w:b/>
                <w:bCs/>
              </w:rPr>
              <w:t>1</w:t>
            </w:r>
          </w:p>
        </w:tc>
        <w:tc>
          <w:tcPr>
            <w:tcW w:w="1668" w:type="dxa"/>
            <w:tcBorders>
              <w:top w:val="single" w:color="auto" w:sz="4" w:space="0"/>
              <w:left w:val="nil"/>
              <w:bottom w:val="single" w:color="auto" w:sz="4" w:space="0"/>
              <w:right w:val="single" w:color="auto" w:sz="4" w:space="0"/>
            </w:tcBorders>
            <w:vAlign w:val="center"/>
          </w:tcPr>
          <w:p w14:paraId="68FA652E">
            <w:pPr>
              <w:spacing w:line="500" w:lineRule="exact"/>
              <w:jc w:val="center"/>
              <w:rPr>
                <w:rFonts w:ascii="宋体" w:hAnsi="宋体"/>
                <w:b/>
                <w:bCs/>
              </w:rPr>
            </w:pPr>
            <w:r>
              <w:rPr>
                <w:rFonts w:hint="eastAsia" w:ascii="宋体" w:hAnsi="宋体"/>
                <w:b/>
                <w:bCs/>
              </w:rPr>
              <w:t>合同签订地点</w:t>
            </w:r>
          </w:p>
        </w:tc>
        <w:tc>
          <w:tcPr>
            <w:tcW w:w="6175" w:type="dxa"/>
            <w:tcBorders>
              <w:top w:val="single" w:color="auto" w:sz="4" w:space="0"/>
              <w:left w:val="nil"/>
              <w:bottom w:val="single" w:color="auto" w:sz="4" w:space="0"/>
              <w:right w:val="single" w:color="auto" w:sz="4" w:space="0"/>
            </w:tcBorders>
            <w:vAlign w:val="center"/>
          </w:tcPr>
          <w:p w14:paraId="7706BF5F">
            <w:pPr>
              <w:spacing w:line="500" w:lineRule="exact"/>
            </w:pPr>
            <w:r>
              <w:rPr>
                <w:rFonts w:hint="eastAsia" w:ascii="宋体" w:hAnsi="宋体"/>
                <w:b/>
                <w:bCs/>
              </w:rPr>
              <w:t>黄山市中医医院</w:t>
            </w:r>
          </w:p>
        </w:tc>
      </w:tr>
      <w:tr w14:paraId="54F3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696" w:type="dxa"/>
            <w:tcBorders>
              <w:top w:val="single" w:color="auto" w:sz="4" w:space="0"/>
              <w:left w:val="single" w:color="auto" w:sz="4" w:space="0"/>
              <w:bottom w:val="single" w:color="auto" w:sz="4" w:space="0"/>
              <w:right w:val="single" w:color="auto" w:sz="4" w:space="0"/>
            </w:tcBorders>
            <w:vAlign w:val="center"/>
          </w:tcPr>
          <w:p w14:paraId="21DF33C9">
            <w:pPr>
              <w:spacing w:line="500" w:lineRule="exact"/>
              <w:jc w:val="center"/>
              <w:rPr>
                <w:rFonts w:ascii="宋体" w:hAnsi="宋体"/>
                <w:b/>
                <w:bCs/>
              </w:rPr>
            </w:pPr>
            <w:r>
              <w:rPr>
                <w:rFonts w:hint="eastAsia" w:ascii="宋体" w:hAnsi="宋体"/>
                <w:b/>
                <w:bCs/>
              </w:rPr>
              <w:t>2</w:t>
            </w:r>
          </w:p>
        </w:tc>
        <w:tc>
          <w:tcPr>
            <w:tcW w:w="1668" w:type="dxa"/>
            <w:tcBorders>
              <w:top w:val="single" w:color="auto" w:sz="4" w:space="0"/>
              <w:left w:val="nil"/>
              <w:bottom w:val="single" w:color="auto" w:sz="4" w:space="0"/>
              <w:right w:val="single" w:color="auto" w:sz="4" w:space="0"/>
            </w:tcBorders>
            <w:vAlign w:val="center"/>
          </w:tcPr>
          <w:p w14:paraId="1A305084">
            <w:pPr>
              <w:spacing w:line="500" w:lineRule="exact"/>
              <w:jc w:val="center"/>
              <w:rPr>
                <w:rFonts w:ascii="宋体" w:hAnsi="宋体"/>
                <w:b/>
                <w:bCs/>
              </w:rPr>
            </w:pPr>
            <w:r>
              <w:rPr>
                <w:rFonts w:hint="eastAsia" w:ascii="宋体" w:hAnsi="宋体"/>
                <w:b/>
                <w:bCs/>
              </w:rPr>
              <w:t>供货完成时限的期限</w:t>
            </w:r>
          </w:p>
        </w:tc>
        <w:tc>
          <w:tcPr>
            <w:tcW w:w="6175" w:type="dxa"/>
            <w:tcBorders>
              <w:top w:val="single" w:color="auto" w:sz="4" w:space="0"/>
              <w:left w:val="nil"/>
              <w:bottom w:val="single" w:color="auto" w:sz="4" w:space="0"/>
              <w:right w:val="single" w:color="auto" w:sz="4" w:space="0"/>
            </w:tcBorders>
            <w:vAlign w:val="center"/>
          </w:tcPr>
          <w:p w14:paraId="40E92702">
            <w:pPr>
              <w:spacing w:line="500" w:lineRule="exact"/>
              <w:rPr>
                <w:rFonts w:ascii="宋体" w:hAnsi="宋体" w:eastAsia="微软雅黑"/>
                <w:b/>
                <w:bCs/>
              </w:rPr>
            </w:pPr>
            <w:r>
              <w:rPr>
                <w:rFonts w:hint="eastAsia" w:ascii="宋体" w:hAnsi="宋体" w:eastAsia="微软雅黑" w:cs="宋体"/>
                <w:b/>
                <w:bCs/>
                <w:lang w:val="en-US" w:eastAsia="zh-CN"/>
              </w:rPr>
              <w:t>15</w:t>
            </w:r>
            <w:r>
              <w:rPr>
                <w:rFonts w:hint="eastAsia" w:ascii="微软雅黑" w:hAnsi="微软雅黑" w:eastAsia="微软雅黑" w:cs="宋体"/>
                <w:b/>
                <w:bCs/>
              </w:rPr>
              <w:t>日历天</w:t>
            </w:r>
          </w:p>
        </w:tc>
      </w:tr>
      <w:tr w14:paraId="211F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96" w:type="dxa"/>
            <w:tcBorders>
              <w:top w:val="single" w:color="auto" w:sz="4" w:space="0"/>
              <w:left w:val="single" w:color="auto" w:sz="4" w:space="0"/>
              <w:bottom w:val="single" w:color="auto" w:sz="4" w:space="0"/>
              <w:right w:val="single" w:color="auto" w:sz="4" w:space="0"/>
            </w:tcBorders>
            <w:vAlign w:val="center"/>
          </w:tcPr>
          <w:p w14:paraId="2ED1CDE2">
            <w:pPr>
              <w:spacing w:line="500" w:lineRule="exact"/>
              <w:jc w:val="center"/>
              <w:rPr>
                <w:rFonts w:ascii="宋体" w:hAnsi="宋体" w:eastAsia="微软雅黑" w:cs="宋体"/>
                <w:b/>
                <w:bCs/>
              </w:rPr>
            </w:pPr>
            <w:r>
              <w:rPr>
                <w:rFonts w:hint="eastAsia" w:ascii="宋体" w:hAnsi="宋体"/>
                <w:b/>
                <w:bCs/>
              </w:rPr>
              <w:t>3</w:t>
            </w:r>
          </w:p>
        </w:tc>
        <w:tc>
          <w:tcPr>
            <w:tcW w:w="1668" w:type="dxa"/>
            <w:tcBorders>
              <w:top w:val="single" w:color="auto" w:sz="4" w:space="0"/>
              <w:left w:val="nil"/>
              <w:bottom w:val="single" w:color="auto" w:sz="4" w:space="0"/>
              <w:right w:val="single" w:color="auto" w:sz="4" w:space="0"/>
            </w:tcBorders>
            <w:vAlign w:val="center"/>
          </w:tcPr>
          <w:p w14:paraId="0058E6EE">
            <w:pPr>
              <w:spacing w:line="500" w:lineRule="exact"/>
              <w:jc w:val="center"/>
              <w:rPr>
                <w:rFonts w:ascii="宋体" w:hAnsi="宋体"/>
                <w:b/>
                <w:bCs/>
              </w:rPr>
            </w:pPr>
            <w:r>
              <w:rPr>
                <w:rFonts w:hint="eastAsia" w:ascii="宋体" w:hAnsi="宋体"/>
                <w:b/>
                <w:bCs/>
              </w:rPr>
              <w:t>验收</w:t>
            </w:r>
          </w:p>
        </w:tc>
        <w:tc>
          <w:tcPr>
            <w:tcW w:w="6175" w:type="dxa"/>
            <w:tcBorders>
              <w:top w:val="single" w:color="auto" w:sz="4" w:space="0"/>
              <w:left w:val="nil"/>
              <w:bottom w:val="single" w:color="auto" w:sz="4" w:space="0"/>
              <w:right w:val="single" w:color="auto" w:sz="4" w:space="0"/>
            </w:tcBorders>
            <w:vAlign w:val="center"/>
          </w:tcPr>
          <w:p w14:paraId="77A3C59B">
            <w:pPr>
              <w:spacing w:line="500" w:lineRule="exact"/>
              <w:rPr>
                <w:rFonts w:ascii="宋体" w:hAnsi="宋体" w:eastAsia="微软雅黑"/>
                <w:b/>
                <w:bCs/>
              </w:rPr>
            </w:pPr>
            <w:r>
              <w:rPr>
                <w:rFonts w:hint="eastAsia" w:ascii="宋体" w:hAnsi="宋体"/>
                <w:b/>
                <w:bCs/>
              </w:rPr>
              <w:t>由总务科牵头成立验收小组，验收合格</w:t>
            </w:r>
          </w:p>
        </w:tc>
      </w:tr>
      <w:tr w14:paraId="3B09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96" w:type="dxa"/>
            <w:tcBorders>
              <w:top w:val="single" w:color="auto" w:sz="4" w:space="0"/>
              <w:left w:val="single" w:color="auto" w:sz="4" w:space="0"/>
              <w:bottom w:val="single" w:color="auto" w:sz="4" w:space="0"/>
              <w:right w:val="single" w:color="auto" w:sz="4" w:space="0"/>
            </w:tcBorders>
            <w:vAlign w:val="center"/>
          </w:tcPr>
          <w:p w14:paraId="37D4D2D3">
            <w:pPr>
              <w:spacing w:line="500" w:lineRule="exact"/>
              <w:jc w:val="center"/>
              <w:rPr>
                <w:rFonts w:ascii="宋体" w:hAnsi="宋体"/>
                <w:b/>
                <w:bCs/>
              </w:rPr>
            </w:pPr>
            <w:r>
              <w:rPr>
                <w:rFonts w:hint="eastAsia" w:ascii="宋体" w:hAnsi="宋体"/>
                <w:b/>
                <w:bCs/>
              </w:rPr>
              <w:t>4</w:t>
            </w:r>
          </w:p>
        </w:tc>
        <w:tc>
          <w:tcPr>
            <w:tcW w:w="1668" w:type="dxa"/>
            <w:tcBorders>
              <w:top w:val="single" w:color="auto" w:sz="4" w:space="0"/>
              <w:left w:val="nil"/>
              <w:bottom w:val="single" w:color="auto" w:sz="4" w:space="0"/>
              <w:right w:val="single" w:color="auto" w:sz="4" w:space="0"/>
            </w:tcBorders>
            <w:vAlign w:val="center"/>
          </w:tcPr>
          <w:p w14:paraId="3B0491D9">
            <w:pPr>
              <w:spacing w:line="500" w:lineRule="exact"/>
              <w:jc w:val="center"/>
              <w:rPr>
                <w:rFonts w:ascii="宋体" w:hAnsi="宋体"/>
                <w:b/>
                <w:bCs/>
              </w:rPr>
            </w:pPr>
            <w:r>
              <w:rPr>
                <w:rFonts w:hint="eastAsia" w:ascii="宋体" w:hAnsi="宋体"/>
                <w:b/>
                <w:bCs/>
              </w:rPr>
              <w:t>质保</w:t>
            </w:r>
          </w:p>
        </w:tc>
        <w:tc>
          <w:tcPr>
            <w:tcW w:w="6175" w:type="dxa"/>
            <w:tcBorders>
              <w:top w:val="single" w:color="auto" w:sz="4" w:space="0"/>
              <w:left w:val="nil"/>
              <w:bottom w:val="single" w:color="auto" w:sz="4" w:space="0"/>
              <w:right w:val="single" w:color="auto" w:sz="4" w:space="0"/>
            </w:tcBorders>
            <w:vAlign w:val="center"/>
          </w:tcPr>
          <w:p w14:paraId="65A11431">
            <w:pPr>
              <w:spacing w:line="500" w:lineRule="exact"/>
              <w:rPr>
                <w:rFonts w:ascii="宋体" w:hAnsi="宋体"/>
                <w:b/>
                <w:bCs/>
              </w:rPr>
            </w:pPr>
            <w:r>
              <w:rPr>
                <w:rFonts w:hint="eastAsia" w:ascii="宋体" w:hAnsi="宋体"/>
                <w:b/>
                <w:bCs/>
              </w:rPr>
              <w:t>2年</w:t>
            </w:r>
          </w:p>
        </w:tc>
      </w:tr>
      <w:tr w14:paraId="02CE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trPr>
        <w:tc>
          <w:tcPr>
            <w:tcW w:w="696" w:type="dxa"/>
            <w:tcBorders>
              <w:top w:val="single" w:color="auto" w:sz="4" w:space="0"/>
              <w:left w:val="single" w:color="auto" w:sz="4" w:space="0"/>
              <w:bottom w:val="single" w:color="auto" w:sz="4" w:space="0"/>
              <w:right w:val="single" w:color="auto" w:sz="4" w:space="0"/>
            </w:tcBorders>
            <w:vAlign w:val="center"/>
          </w:tcPr>
          <w:p w14:paraId="1AD054D5">
            <w:pPr>
              <w:spacing w:line="500" w:lineRule="exact"/>
              <w:jc w:val="center"/>
              <w:rPr>
                <w:rFonts w:ascii="宋体" w:hAnsi="宋体" w:eastAsia="微软雅黑" w:cs="宋体"/>
                <w:b/>
                <w:bCs/>
              </w:rPr>
            </w:pPr>
            <w:r>
              <w:rPr>
                <w:rFonts w:hint="eastAsia" w:ascii="宋体" w:hAnsi="宋体"/>
                <w:b/>
                <w:bCs/>
              </w:rPr>
              <w:t>5</w:t>
            </w:r>
          </w:p>
        </w:tc>
        <w:tc>
          <w:tcPr>
            <w:tcW w:w="1668" w:type="dxa"/>
            <w:tcBorders>
              <w:top w:val="single" w:color="auto" w:sz="4" w:space="0"/>
              <w:left w:val="nil"/>
              <w:bottom w:val="single" w:color="auto" w:sz="4" w:space="0"/>
              <w:right w:val="single" w:color="auto" w:sz="4" w:space="0"/>
            </w:tcBorders>
            <w:vAlign w:val="center"/>
          </w:tcPr>
          <w:p w14:paraId="665184E9">
            <w:pPr>
              <w:spacing w:line="500" w:lineRule="exact"/>
              <w:jc w:val="center"/>
              <w:rPr>
                <w:rFonts w:ascii="宋体" w:hAnsi="宋体"/>
                <w:b/>
                <w:bCs/>
              </w:rPr>
            </w:pPr>
            <w:r>
              <w:rPr>
                <w:rFonts w:hint="eastAsia" w:ascii="宋体" w:hAnsi="宋体"/>
                <w:b/>
                <w:bCs/>
              </w:rPr>
              <w:t>付款</w:t>
            </w:r>
          </w:p>
        </w:tc>
        <w:tc>
          <w:tcPr>
            <w:tcW w:w="6175" w:type="dxa"/>
            <w:tcBorders>
              <w:top w:val="single" w:color="auto" w:sz="4" w:space="0"/>
              <w:left w:val="nil"/>
              <w:bottom w:val="single" w:color="auto" w:sz="4" w:space="0"/>
              <w:right w:val="single" w:color="auto" w:sz="4" w:space="0"/>
            </w:tcBorders>
            <w:vAlign w:val="center"/>
          </w:tcPr>
          <w:p w14:paraId="3C98FA02">
            <w:pPr>
              <w:spacing w:line="500" w:lineRule="exact"/>
              <w:rPr>
                <w:rFonts w:ascii="宋体" w:hAnsi="宋体"/>
                <w:b/>
                <w:bCs/>
              </w:rPr>
            </w:pPr>
            <w:r>
              <w:rPr>
                <w:rFonts w:hint="eastAsia" w:ascii="宋体" w:hAnsi="宋体"/>
                <w:b/>
                <w:bCs/>
              </w:rPr>
              <w:t>付款人：黄山市中医医院</w:t>
            </w:r>
          </w:p>
          <w:p w14:paraId="6F725770">
            <w:pPr>
              <w:spacing w:line="500" w:lineRule="exact"/>
              <w:rPr>
                <w:rFonts w:ascii="宋体" w:hAnsi="宋体" w:eastAsia="微软雅黑"/>
                <w:b/>
                <w:bCs/>
              </w:rPr>
            </w:pPr>
            <w:r>
              <w:rPr>
                <w:rFonts w:hint="eastAsia" w:ascii="宋体" w:hAnsi="宋体"/>
                <w:b/>
                <w:bCs/>
              </w:rPr>
              <w:t>付款方式：货物到采购人指定地点安装验收完成之后付至合同金额的100%，中标后签订合同前，需将中标金额的</w:t>
            </w:r>
            <w:r>
              <w:rPr>
                <w:rFonts w:hint="eastAsia" w:ascii="宋体" w:hAnsi="宋体"/>
                <w:b/>
                <w:bCs/>
                <w:lang w:val="en-US" w:eastAsia="zh-CN"/>
              </w:rPr>
              <w:t>5</w:t>
            </w:r>
            <w:r>
              <w:rPr>
                <w:rFonts w:hint="eastAsia" w:ascii="宋体" w:hAnsi="宋体"/>
                <w:b/>
                <w:bCs/>
              </w:rPr>
              <w:t>％作为履约保证金汇入医院指定账户，质保期满后无质量问题一次性退还，不计利息。</w:t>
            </w:r>
          </w:p>
        </w:tc>
      </w:tr>
      <w:tr w14:paraId="41CD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96" w:type="dxa"/>
            <w:tcBorders>
              <w:top w:val="single" w:color="auto" w:sz="4" w:space="0"/>
              <w:left w:val="single" w:color="auto" w:sz="4" w:space="0"/>
              <w:bottom w:val="single" w:color="auto" w:sz="4" w:space="0"/>
              <w:right w:val="single" w:color="auto" w:sz="4" w:space="0"/>
            </w:tcBorders>
            <w:vAlign w:val="center"/>
          </w:tcPr>
          <w:p w14:paraId="003A4601">
            <w:pPr>
              <w:spacing w:line="500" w:lineRule="exact"/>
              <w:jc w:val="center"/>
              <w:rPr>
                <w:rFonts w:ascii="宋体" w:hAnsi="宋体" w:eastAsia="微软雅黑" w:cs="宋体"/>
                <w:b/>
                <w:bCs/>
              </w:rPr>
            </w:pPr>
            <w:r>
              <w:rPr>
                <w:rFonts w:hint="eastAsia" w:ascii="宋体" w:hAnsi="宋体"/>
                <w:b/>
                <w:bCs/>
              </w:rPr>
              <w:t>5</w:t>
            </w:r>
          </w:p>
        </w:tc>
        <w:tc>
          <w:tcPr>
            <w:tcW w:w="1668" w:type="dxa"/>
            <w:tcBorders>
              <w:top w:val="single" w:color="auto" w:sz="4" w:space="0"/>
              <w:left w:val="nil"/>
              <w:bottom w:val="single" w:color="auto" w:sz="4" w:space="0"/>
              <w:right w:val="single" w:color="auto" w:sz="4" w:space="0"/>
            </w:tcBorders>
            <w:vAlign w:val="center"/>
          </w:tcPr>
          <w:p w14:paraId="41898CCC">
            <w:pPr>
              <w:spacing w:line="500" w:lineRule="exact"/>
              <w:jc w:val="center"/>
              <w:rPr>
                <w:rFonts w:ascii="宋体" w:hAnsi="宋体"/>
                <w:b/>
                <w:bCs/>
              </w:rPr>
            </w:pPr>
            <w:r>
              <w:rPr>
                <w:rFonts w:hint="eastAsia" w:ascii="宋体" w:hAnsi="宋体"/>
                <w:b/>
                <w:bCs/>
              </w:rPr>
              <w:t>履约保证金</w:t>
            </w:r>
          </w:p>
        </w:tc>
        <w:tc>
          <w:tcPr>
            <w:tcW w:w="6175" w:type="dxa"/>
            <w:tcBorders>
              <w:top w:val="single" w:color="auto" w:sz="4" w:space="0"/>
              <w:left w:val="nil"/>
              <w:bottom w:val="single" w:color="auto" w:sz="4" w:space="0"/>
              <w:right w:val="single" w:color="auto" w:sz="4" w:space="0"/>
            </w:tcBorders>
            <w:vAlign w:val="center"/>
          </w:tcPr>
          <w:p w14:paraId="15D2B2E9">
            <w:pPr>
              <w:spacing w:line="500" w:lineRule="exact"/>
              <w:rPr>
                <w:rFonts w:ascii="宋体" w:hAnsi="宋体"/>
                <w:b/>
                <w:bCs/>
              </w:rPr>
            </w:pPr>
            <w:r>
              <w:rPr>
                <w:rFonts w:hint="eastAsia" w:ascii="宋体" w:hAnsi="宋体"/>
                <w:b/>
                <w:bCs/>
              </w:rPr>
              <w:t xml:space="preserve">中标后签订合同前，需将中标金额的 </w:t>
            </w:r>
            <w:r>
              <w:rPr>
                <w:rFonts w:hint="eastAsia" w:ascii="宋体" w:hAnsi="宋体"/>
                <w:b/>
                <w:bCs/>
                <w:lang w:val="en-US" w:eastAsia="zh-CN"/>
              </w:rPr>
              <w:t>5</w:t>
            </w:r>
            <w:r>
              <w:rPr>
                <w:rFonts w:hint="eastAsia" w:ascii="宋体" w:hAnsi="宋体"/>
                <w:b/>
                <w:bCs/>
              </w:rPr>
              <w:t>％作为履约保证金汇入医院指定账户</w:t>
            </w:r>
          </w:p>
        </w:tc>
      </w:tr>
    </w:tbl>
    <w:p w14:paraId="0461DE2B">
      <w:r>
        <w:drawing>
          <wp:inline distT="0" distB="0" distL="0" distR="0">
            <wp:extent cx="5266690" cy="2381250"/>
            <wp:effectExtent l="19050" t="0" r="0" b="0"/>
            <wp:docPr id="28" name="图片 28" descr="C:\Users\ADMINI~1\AppData\Local\Temp\ksohtml42420\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ADMINI~1\AppData\Local\Temp\ksohtml42420\wps5.png"/>
                    <pic:cNvPicPr>
                      <a:picLocks noChangeAspect="1" noChangeArrowheads="1"/>
                    </pic:cNvPicPr>
                  </pic:nvPicPr>
                  <pic:blipFill>
                    <a:blip r:embed="rId7"/>
                    <a:srcRect/>
                    <a:stretch>
                      <a:fillRect/>
                    </a:stretch>
                  </pic:blipFill>
                  <pic:spPr>
                    <a:xfrm>
                      <a:off x="0" y="0"/>
                      <a:ext cx="5266690" cy="2381250"/>
                    </a:xfrm>
                    <a:prstGeom prst="rect">
                      <a:avLst/>
                    </a:prstGeom>
                    <a:noFill/>
                    <a:ln w="9525">
                      <a:noFill/>
                      <a:miter lim="800000"/>
                      <a:headEnd/>
                      <a:tailEnd/>
                    </a:ln>
                  </pic:spPr>
                </pic:pic>
              </a:graphicData>
            </a:graphic>
          </wp:inline>
        </w:drawing>
      </w:r>
    </w:p>
    <w:p w14:paraId="61961F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55BEC"/>
    <w:multiLevelType w:val="multilevel"/>
    <w:tmpl w:val="04555BEC"/>
    <w:lvl w:ilvl="0" w:tentative="0">
      <w:start w:val="9"/>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3277799"/>
    <w:multiLevelType w:val="multilevel"/>
    <w:tmpl w:val="43277799"/>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382"/>
    <w:rsid w:val="00577382"/>
    <w:rsid w:val="00AD41ED"/>
    <w:rsid w:val="0C7414D5"/>
    <w:rsid w:val="4D7057A0"/>
    <w:rsid w:val="4EB3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table" w:styleId="4">
    <w:name w:val="Table Grid"/>
    <w:basedOn w:val="3"/>
    <w:unhideWhenUsed/>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907</Words>
  <Characters>966</Characters>
  <Lines>7</Lines>
  <Paragraphs>2</Paragraphs>
  <TotalTime>15</TotalTime>
  <ScaleCrop>false</ScaleCrop>
  <LinksUpToDate>false</LinksUpToDate>
  <CharactersWithSpaces>997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2025-12-25T06:39:00Z</dcterms:created>
  <dc:creator>微软用户</dc:creator>
  <cp:lastModifiedBy>微信用户</cp:lastModifiedBy>
  <cp:lastPrinted>2025-12-25T07:48:33Z</cp:lastPrinted>
  <dcterms:modified xsi:type="dcterms:W3CDTF">2025-12-25T07:49:16Z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eyJoZGlkIjoiYTJmOWUyOGQwMjc4ZjhhYTlkMWU1NmM5NTNiMTlkZjIiLCJ1c2VySWQiOiIxMjczNTgyNzYyIn0=</vt:lpwstr>
  </property>
  <property fmtid="{D5CDD505-2E9C-101B-9397-08002B2CF9AE}" pid="3" name="KSOProductBuildVer">
    <vt:lpwstr>2052-12.1.0.23542</vt:lpwstr>
  </property>
  <property fmtid="{D5CDD505-2E9C-101B-9397-08002B2CF9AE}" pid="4" name="ICV">
    <vt:lpwstr>EA81CC0625D34D5EAE6AAECF33292027_13</vt:lpwstr>
  </property>
</Properties>
</file>