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overflowPunct w:val="0"/>
        <w:topLinePunct/>
        <w:rPr>
          <w:rFonts w:hint="eastAsia" w:ascii="GWZT-EN" w:hAnsiTheme="minorEastAsia" w:eastAsiaTheme="minorEastAsia" w:cstheme="minorEastAsia"/>
          <w:sz w:val="44"/>
          <w:szCs w:val="44"/>
          <w:lang w:val="en-US" w:eastAsia="zh-CN"/>
        </w:rPr>
      </w:pPr>
      <w:r>
        <w:rPr>
          <w:rFonts w:hint="eastAsia" w:ascii="GWZT-EN" w:hAnsiTheme="minorEastAsia" w:eastAsiaTheme="minorEastAsia" w:cstheme="minorEastAsia"/>
          <w:sz w:val="44"/>
          <w:szCs w:val="44"/>
        </w:rPr>
        <w:t>黄山市中医医院血糖试纸、血酮试纸（耗材</w:t>
      </w:r>
      <w:r>
        <w:rPr>
          <w:rFonts w:hint="eastAsia" w:hAnsiTheme="minorEastAsia" w:eastAsiaTheme="minorEastAsia" w:cstheme="minorEastAsia"/>
          <w:sz w:val="44"/>
          <w:szCs w:val="44"/>
          <w:lang w:eastAsia="zh-CN"/>
        </w:rPr>
        <w:t>）</w:t>
      </w:r>
      <w:r>
        <w:rPr>
          <w:rFonts w:hint="eastAsia" w:ascii="GWZT-EN" w:hAnsiTheme="minorEastAsia" w:eastAsiaTheme="minorEastAsia" w:cstheme="minorEastAsia"/>
          <w:sz w:val="44"/>
          <w:szCs w:val="44"/>
          <w:lang w:val="en-US" w:eastAsia="zh-CN"/>
        </w:rPr>
        <w:t>采购需求</w:t>
      </w:r>
    </w:p>
    <w:p>
      <w:pPr>
        <w:pStyle w:val="4"/>
        <w:numPr>
          <w:ilvl w:val="0"/>
          <w:numId w:val="0"/>
        </w:numPr>
        <w:spacing w:line="240" w:lineRule="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采购服务期及预算：服务期</w:t>
      </w:r>
      <w:r>
        <w:rPr>
          <w:rFonts w:hint="eastAsia" w:ascii="仿宋" w:hAnsi="仿宋" w:cs="仿宋"/>
          <w:b w:val="0"/>
          <w:bCs w:val="0"/>
          <w:sz w:val="32"/>
          <w:szCs w:val="32"/>
          <w:lang w:val="en-US" w:eastAsia="zh-CN"/>
        </w:rPr>
        <w:t>1</w:t>
      </w:r>
      <w:r>
        <w:rPr>
          <w:rFonts w:hint="eastAsia" w:ascii="仿宋" w:hAnsi="仿宋" w:eastAsia="仿宋" w:cs="仿宋"/>
          <w:b w:val="0"/>
          <w:bCs w:val="0"/>
          <w:sz w:val="32"/>
          <w:szCs w:val="32"/>
          <w:lang w:val="en-US" w:eastAsia="zh-CN"/>
        </w:rPr>
        <w:t>年，预算</w:t>
      </w:r>
      <w:r>
        <w:rPr>
          <w:rFonts w:hint="eastAsia" w:ascii="仿宋" w:hAnsi="仿宋" w:cs="仿宋"/>
          <w:b w:val="0"/>
          <w:bCs w:val="0"/>
          <w:sz w:val="32"/>
          <w:szCs w:val="32"/>
          <w:lang w:val="en-US" w:eastAsia="zh-CN"/>
        </w:rPr>
        <w:t>9</w:t>
      </w:r>
      <w:r>
        <w:rPr>
          <w:rFonts w:hint="eastAsia" w:ascii="仿宋" w:hAnsi="仿宋" w:eastAsia="仿宋" w:cs="仿宋"/>
          <w:b w:val="0"/>
          <w:bCs w:val="0"/>
          <w:sz w:val="32"/>
          <w:szCs w:val="32"/>
          <w:lang w:val="en-US" w:eastAsia="zh-CN"/>
        </w:rPr>
        <w:t>万。</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最高限价：血糖试纸1.58元/片(按需采购）；血酮试纸</w:t>
      </w:r>
      <w:r>
        <w:rPr>
          <w:rFonts w:hint="eastAsia" w:ascii="仿宋" w:hAnsi="仿宋" w:cs="仿宋"/>
          <w:b w:val="0"/>
          <w:bCs w:val="0"/>
          <w:sz w:val="32"/>
          <w:szCs w:val="32"/>
          <w:lang w:val="en-US" w:eastAsia="zh-CN"/>
        </w:rPr>
        <w:t>16.5</w:t>
      </w:r>
      <w:r>
        <w:rPr>
          <w:rFonts w:hint="eastAsia" w:ascii="仿宋" w:hAnsi="仿宋" w:eastAsia="仿宋" w:cs="仿宋"/>
          <w:b w:val="0"/>
          <w:bCs w:val="0"/>
          <w:sz w:val="32"/>
          <w:szCs w:val="32"/>
          <w:lang w:val="en-US" w:eastAsia="zh-CN"/>
        </w:rPr>
        <w:t>元/片（按需采购）。</w:t>
      </w:r>
    </w:p>
    <w:p>
      <w:pPr>
        <w:keepNext w:val="0"/>
        <w:keepLines w:val="0"/>
        <w:pageBreakBefore w:val="0"/>
        <w:widowControl w:val="0"/>
        <w:kinsoku/>
        <w:wordWrap/>
        <w:overflowPunct w:val="0"/>
        <w:topLinePunct/>
        <w:autoSpaceDE/>
        <w:autoSpaceDN/>
        <w:bidi w:val="0"/>
        <w:adjustRightInd w:val="0"/>
        <w:snapToGrid/>
        <w:spacing w:line="560" w:lineRule="exact"/>
        <w:ind w:firstLine="616" w:firstLineChars="200"/>
        <w:textAlignment w:val="auto"/>
        <w:rPr>
          <w:rFonts w:hint="eastAsia" w:ascii="仿宋" w:hAnsi="仿宋" w:eastAsia="仿宋" w:cs="仿宋"/>
          <w:b w:val="0"/>
          <w:bCs w:val="0"/>
          <w:color w:val="FF0000"/>
          <w:sz w:val="32"/>
          <w:szCs w:val="32"/>
          <w:lang w:val="en-US" w:eastAsia="zh-CN"/>
        </w:rPr>
      </w:pPr>
      <w:bookmarkStart w:id="0" w:name="OLE_LINK1"/>
      <w:r>
        <w:rPr>
          <w:rFonts w:hint="eastAsia" w:ascii="仿宋" w:hAnsi="仿宋" w:eastAsia="仿宋" w:cs="仿宋"/>
          <w:b w:val="0"/>
          <w:bCs w:val="0"/>
          <w:color w:val="FF0000"/>
          <w:sz w:val="32"/>
          <w:szCs w:val="32"/>
          <w:lang w:val="en-US" w:eastAsia="zh-CN"/>
        </w:rPr>
        <w:t>投标人需报血糖试纸最小计量单位（片）单价及血酮试纸最小计量单位（片），均不得高于限价；</w:t>
      </w:r>
    </w:p>
    <w:p>
      <w:pPr>
        <w:keepNext w:val="0"/>
        <w:keepLines w:val="0"/>
        <w:pageBreakBefore w:val="0"/>
        <w:widowControl w:val="0"/>
        <w:kinsoku/>
        <w:wordWrap/>
        <w:overflowPunct w:val="0"/>
        <w:topLinePunct/>
        <w:autoSpaceDE/>
        <w:autoSpaceDN/>
        <w:bidi w:val="0"/>
        <w:adjustRightInd w:val="0"/>
        <w:snapToGrid/>
        <w:spacing w:line="560" w:lineRule="exact"/>
        <w:ind w:firstLine="616" w:firstLineChars="200"/>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FF0000"/>
          <w:sz w:val="32"/>
          <w:szCs w:val="32"/>
          <w:lang w:val="en-US" w:eastAsia="zh-CN"/>
        </w:rPr>
        <w:t>投标人按血糖试纸最小计量单位（片）单价*0.88+血酮试纸最小计量单位（片）单价*0.12计算作为评审使用。</w:t>
      </w:r>
    </w:p>
    <w:bookmarkEnd w:id="0"/>
    <w:p>
      <w:pPr>
        <w:pStyle w:val="2"/>
        <w:keepNext w:val="0"/>
        <w:numPr>
          <w:ilvl w:val="0"/>
          <w:numId w:val="1"/>
        </w:numPr>
        <w:overflowPunct w:val="0"/>
        <w:topLinePunct/>
        <w:spacing w:line="520" w:lineRule="exact"/>
        <w:rPr>
          <w:rFonts w:hint="eastAsia" w:ascii="GWZT-EN" w:hAnsiTheme="minorEastAsia" w:eastAsiaTheme="minorEastAsia" w:cstheme="minorEastAsia"/>
          <w:b/>
          <w:bCs/>
          <w:sz w:val="32"/>
          <w:szCs w:val="32"/>
        </w:rPr>
      </w:pPr>
      <w:r>
        <w:rPr>
          <w:rFonts w:hint="eastAsia" w:ascii="GWZT-EN" w:hAnsiTheme="minorEastAsia" w:eastAsiaTheme="minorEastAsia" w:cstheme="minorEastAsia"/>
          <w:b/>
          <w:bCs/>
          <w:sz w:val="32"/>
          <w:szCs w:val="32"/>
        </w:rPr>
        <w:t>采购清单及技术要求</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28"/>
        <w:gridCol w:w="61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80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topLinePunct/>
              <w:spacing w:line="360" w:lineRule="auto"/>
              <w:jc w:val="center"/>
              <w:rPr>
                <w:rFonts w:hint="eastAsia" w:ascii="GWZT-EN" w:hAnsiTheme="minorEastAsia" w:eastAsiaTheme="minorEastAsia" w:cstheme="minorEastAsia"/>
                <w:b w:val="0"/>
                <w:color w:val="000000"/>
                <w:sz w:val="24"/>
              </w:rPr>
            </w:pPr>
            <w:r>
              <w:rPr>
                <w:rFonts w:hint="eastAsia" w:ascii="GWZT-EN" w:hAnsiTheme="minorEastAsia" w:eastAsiaTheme="minorEastAsia" w:cstheme="minorEastAsia"/>
                <w:b w:val="0"/>
                <w:bCs w:val="0"/>
                <w:color w:val="000000"/>
                <w:sz w:val="24"/>
              </w:rPr>
              <w:t>采购</w:t>
            </w:r>
          </w:p>
          <w:p>
            <w:pPr>
              <w:overflowPunct w:val="0"/>
              <w:topLinePunct/>
              <w:spacing w:line="360" w:lineRule="auto"/>
              <w:jc w:val="center"/>
              <w:rPr>
                <w:rFonts w:hint="eastAsia" w:ascii="GWZT-EN" w:hAnsiTheme="minorEastAsia" w:eastAsiaTheme="minorEastAsia" w:cstheme="minorEastAsia"/>
                <w:b w:val="0"/>
                <w:color w:val="000000"/>
                <w:szCs w:val="21"/>
              </w:rPr>
            </w:pPr>
            <w:r>
              <w:rPr>
                <w:rFonts w:hint="eastAsia" w:ascii="GWZT-EN" w:hAnsiTheme="minorEastAsia" w:eastAsiaTheme="minorEastAsia" w:cstheme="minorEastAsia"/>
                <w:b w:val="0"/>
                <w:bCs w:val="0"/>
                <w:color w:val="000000"/>
                <w:sz w:val="24"/>
              </w:rPr>
              <w:t>品目</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topLinePunct/>
              <w:spacing w:line="360" w:lineRule="auto"/>
              <w:jc w:val="center"/>
              <w:rPr>
                <w:rFonts w:hint="eastAsia" w:ascii="GWZT-EN" w:hAnsiTheme="minorEastAsia" w:eastAsiaTheme="minorEastAsia" w:cstheme="minorEastAsia"/>
                <w:b w:val="0"/>
                <w:color w:val="000000"/>
                <w:sz w:val="24"/>
              </w:rPr>
            </w:pPr>
            <w:r>
              <w:rPr>
                <w:rFonts w:hint="eastAsia" w:ascii="GWZT-EN" w:hAnsiTheme="minorEastAsia" w:eastAsiaTheme="minorEastAsia" w:cstheme="minorEastAsia"/>
                <w:b w:val="0"/>
                <w:bCs w:val="0"/>
                <w:color w:val="000000"/>
                <w:sz w:val="24"/>
              </w:rPr>
              <w:t>采购数量</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topLinePunct/>
              <w:spacing w:line="360" w:lineRule="auto"/>
              <w:jc w:val="center"/>
              <w:rPr>
                <w:rFonts w:hint="eastAsia" w:ascii="GWZT-EN" w:hAnsiTheme="minorEastAsia" w:eastAsiaTheme="minorEastAsia" w:cstheme="minorEastAsia"/>
                <w:b w:val="0"/>
                <w:color w:val="000000"/>
                <w:sz w:val="24"/>
              </w:rPr>
            </w:pPr>
            <w:r>
              <w:rPr>
                <w:rFonts w:hint="eastAsia" w:ascii="GWZT-EN" w:hAnsiTheme="minorEastAsia" w:eastAsiaTheme="minorEastAsia" w:cstheme="minorEastAsia"/>
                <w:b w:val="0"/>
                <w:bCs w:val="0"/>
                <w:color w:val="000000"/>
                <w:sz w:val="24"/>
              </w:rPr>
              <w:t>详细参数及性能要求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topLinePunct/>
              <w:spacing w:line="360" w:lineRule="auto"/>
              <w:jc w:val="center"/>
              <w:rPr>
                <w:rFonts w:hint="eastAsia" w:ascii="GWZT-EN" w:hAnsiTheme="minorEastAsia" w:eastAsiaTheme="minorEastAsia" w:cstheme="minorEastAsia"/>
                <w:b w:val="0"/>
                <w:color w:val="000000"/>
                <w:sz w:val="24"/>
              </w:rPr>
            </w:pPr>
            <w:r>
              <w:rPr>
                <w:rFonts w:hint="eastAsia" w:ascii="GWZT-EN" w:hAnsiTheme="minorEastAsia" w:eastAsiaTheme="minorEastAsia" w:cstheme="minorEastAsia"/>
                <w:b w:val="0"/>
                <w:bCs w:val="0"/>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topLinePunct/>
              <w:spacing w:line="360" w:lineRule="auto"/>
              <w:rPr>
                <w:rFonts w:hint="eastAsia" w:asciiTheme="minorEastAsia" w:hAnsiTheme="minorEastAsia" w:eastAsiaTheme="minorEastAsia" w:cstheme="minorEastAsia"/>
                <w:b w:val="0"/>
                <w:color w:val="000000"/>
                <w:sz w:val="24"/>
                <w:szCs w:val="24"/>
                <w:shd w:val="clear" w:color="auto" w:fill="FFFFFF"/>
              </w:rPr>
            </w:pPr>
          </w:p>
          <w:p>
            <w:pPr>
              <w:overflowPunct w:val="0"/>
              <w:topLinePunct/>
              <w:spacing w:line="360" w:lineRule="auto"/>
              <w:rPr>
                <w:rFonts w:hint="eastAsia" w:asciiTheme="minorEastAsia" w:hAnsiTheme="minorEastAsia" w:eastAsiaTheme="minorEastAsia" w:cstheme="minorEastAsia"/>
                <w:b w:val="0"/>
                <w:color w:val="000000"/>
                <w:sz w:val="24"/>
                <w:szCs w:val="24"/>
                <w:shd w:val="clear" w:color="auto" w:fill="FFFFFF"/>
              </w:rPr>
            </w:pPr>
          </w:p>
          <w:p>
            <w:pPr>
              <w:overflowPunct w:val="0"/>
              <w:topLinePunct/>
              <w:spacing w:line="360" w:lineRule="auto"/>
              <w:rPr>
                <w:rFonts w:hint="eastAsia" w:asciiTheme="minorEastAsia" w:hAnsiTheme="minorEastAsia" w:eastAsiaTheme="minorEastAsia" w:cstheme="minorEastAsia"/>
                <w:b w:val="0"/>
                <w:bCs/>
                <w:color w:val="000000"/>
                <w:sz w:val="24"/>
                <w:szCs w:val="24"/>
              </w:rPr>
            </w:pPr>
          </w:p>
          <w:p>
            <w:pPr>
              <w:overflowPunct w:val="0"/>
              <w:topLinePunct/>
              <w:spacing w:line="360" w:lineRule="auto"/>
              <w:rPr>
                <w:rFonts w:hint="eastAsia" w:asciiTheme="minorEastAsia" w:hAnsiTheme="minorEastAsia" w:eastAsiaTheme="minorEastAsia" w:cstheme="minorEastAsia"/>
                <w:b w:val="0"/>
                <w:bCs/>
                <w:color w:val="000000"/>
                <w:sz w:val="24"/>
                <w:szCs w:val="24"/>
              </w:rPr>
            </w:pPr>
          </w:p>
          <w:p>
            <w:pPr>
              <w:overflowPunct w:val="0"/>
              <w:topLinePunct/>
              <w:spacing w:line="360" w:lineRule="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血糖试纸、血酮试纸（耗材）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topLinePunct/>
              <w:spacing w:line="360" w:lineRule="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 xml:space="preserve"> </w:t>
            </w:r>
          </w:p>
          <w:p>
            <w:pPr>
              <w:overflowPunct w:val="0"/>
              <w:topLinePunct/>
              <w:spacing w:line="360" w:lineRule="auto"/>
              <w:rPr>
                <w:rFonts w:hint="eastAsia" w:asciiTheme="minorEastAsia" w:hAnsiTheme="minorEastAsia" w:eastAsiaTheme="minorEastAsia" w:cstheme="minorEastAsia"/>
                <w:b w:val="0"/>
                <w:color w:val="000000"/>
                <w:sz w:val="24"/>
                <w:szCs w:val="24"/>
              </w:rPr>
            </w:pPr>
          </w:p>
          <w:p>
            <w:pPr>
              <w:overflowPunct w:val="0"/>
              <w:topLinePunct/>
              <w:spacing w:line="360" w:lineRule="auto"/>
              <w:rPr>
                <w:rFonts w:hint="eastAsia" w:asciiTheme="minorEastAsia" w:hAnsiTheme="minorEastAsia" w:eastAsiaTheme="minorEastAsia" w:cstheme="minorEastAsia"/>
                <w:b w:val="0"/>
                <w:color w:val="000000"/>
                <w:sz w:val="24"/>
                <w:szCs w:val="24"/>
              </w:rPr>
            </w:pPr>
          </w:p>
          <w:p>
            <w:pPr>
              <w:overflowPunct w:val="0"/>
              <w:topLinePunct/>
              <w:spacing w:line="360" w:lineRule="auto"/>
              <w:rPr>
                <w:rFonts w:hint="eastAsia" w:asciiTheme="minorEastAsia" w:hAnsiTheme="minorEastAsia" w:eastAsiaTheme="minorEastAsia" w:cstheme="minorEastAsia"/>
                <w:b w:val="0"/>
                <w:color w:val="000000"/>
                <w:sz w:val="24"/>
                <w:szCs w:val="24"/>
              </w:rPr>
            </w:pPr>
          </w:p>
          <w:p>
            <w:pPr>
              <w:overflowPunct w:val="0"/>
              <w:topLinePunct/>
              <w:spacing w:line="360" w:lineRule="auto"/>
              <w:rPr>
                <w:rFonts w:hint="eastAsia" w:asciiTheme="minorEastAsia" w:hAnsiTheme="minorEastAsia" w:eastAsiaTheme="minorEastAsia" w:cstheme="minorEastAsia"/>
                <w:b w:val="0"/>
                <w:color w:val="000000"/>
                <w:sz w:val="24"/>
                <w:szCs w:val="24"/>
              </w:rPr>
            </w:pPr>
          </w:p>
          <w:p>
            <w:pPr>
              <w:overflowPunct w:val="0"/>
              <w:topLinePunct/>
              <w:spacing w:line="360" w:lineRule="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bCs w:val="0"/>
                <w:color w:val="000000"/>
                <w:sz w:val="24"/>
                <w:szCs w:val="24"/>
              </w:rPr>
              <w:t>按需</w:t>
            </w:r>
            <w:r>
              <w:rPr>
                <w:rFonts w:hint="eastAsia" w:asciiTheme="minorEastAsia" w:hAnsiTheme="minorEastAsia" w:eastAsiaTheme="minorEastAsia" w:cstheme="minorEastAsia"/>
                <w:b w:val="0"/>
                <w:bCs w:val="0"/>
                <w:color w:val="000000"/>
                <w:sz w:val="24"/>
                <w:szCs w:val="24"/>
                <w:lang w:val="en-US" w:eastAsia="zh-CN"/>
              </w:rPr>
              <w:t>采购</w:t>
            </w:r>
            <w:r>
              <w:rPr>
                <w:rFonts w:hint="eastAsia" w:asciiTheme="minorEastAsia" w:hAnsiTheme="minorEastAsia" w:eastAsiaTheme="minorEastAsia" w:cstheme="minorEastAsia"/>
                <w:b w:val="0"/>
                <w:color w:val="000000"/>
                <w:sz w:val="24"/>
                <w:szCs w:val="24"/>
              </w:rPr>
              <w:t xml:space="preserve">           </w:t>
            </w:r>
          </w:p>
        </w:tc>
        <w:tc>
          <w:tcPr>
            <w:tcW w:w="6120"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一、基本要求</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rPr>
              <w:t>1</w:t>
            </w:r>
            <w:r>
              <w:rPr>
                <w:rFonts w:hint="eastAsia" w:asciiTheme="minorEastAsia" w:hAnsiTheme="minorEastAsia" w:eastAsiaTheme="minorEastAsia" w:cstheme="minorEastAsia"/>
                <w:b w:val="0"/>
                <w:color w:val="000000"/>
                <w:sz w:val="24"/>
                <w:szCs w:val="24"/>
                <w:lang w:eastAsia="zh-CN"/>
              </w:rPr>
              <w:t>、</w:t>
            </w:r>
            <w:r>
              <w:rPr>
                <w:rFonts w:hint="eastAsia" w:asciiTheme="minorEastAsia" w:hAnsiTheme="minorEastAsia" w:eastAsiaTheme="minorEastAsia" w:cstheme="minorEastAsia"/>
                <w:b w:val="0"/>
                <w:color w:val="000000"/>
                <w:sz w:val="24"/>
                <w:szCs w:val="24"/>
                <w:lang w:val="en-US" w:eastAsia="zh-CN"/>
              </w:rPr>
              <w:t>提供近2年内≧3家业绩合同或有效供应清单；</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2、因供货不及时或者产品质量原因，医院有权终止合同；</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3、为保证临床使用需求，中标提供第一批产品后，科室使用后组织产品使用反馈，科室可要求供应商更换同品牌不同规格型号产品，</w:t>
            </w:r>
            <w:r>
              <w:rPr>
                <w:rFonts w:hint="eastAsia" w:asciiTheme="minorEastAsia" w:hAnsiTheme="minorEastAsia" w:eastAsiaTheme="minorEastAsia" w:cstheme="minorEastAsia"/>
                <w:b w:val="0"/>
                <w:color w:val="auto"/>
                <w:sz w:val="24"/>
                <w:szCs w:val="24"/>
                <w:lang w:val="en-US" w:eastAsia="zh-CN"/>
              </w:rPr>
              <w:t>若</w:t>
            </w:r>
            <w:r>
              <w:rPr>
                <w:rFonts w:hint="eastAsia" w:asciiTheme="minorEastAsia" w:hAnsiTheme="minorEastAsia" w:eastAsiaTheme="minorEastAsia" w:cstheme="minorEastAsia"/>
                <w:b w:val="0"/>
                <w:color w:val="000000"/>
                <w:sz w:val="24"/>
                <w:szCs w:val="24"/>
                <w:lang w:val="en-US" w:eastAsia="zh-CN"/>
              </w:rPr>
              <w:t>临床使用反馈不合格，医院有权终止合同；</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4、为保证供应产品质量的可追溯性以及质保期的真实性，签订合同前提供原厂授权书及售后服务承诺书。</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5、合同签订后，成交供应商配送需满足安徽省医疗保障局的相关政策要求和规定。</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6、遇国家及省、市级带量采购政策调整，应根据相关要求及时调整价格。</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7.根据医院需求免费提供配套血糖仪，响应时间7个工作日；</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8.按需免费提供质控品，根据医院临床需求定期质控以及每年≥2次的血糖仪比对实验；</w:t>
            </w:r>
          </w:p>
          <w:p>
            <w:pPr>
              <w:keepNext w:val="0"/>
              <w:keepLines w:val="0"/>
              <w:pageBreakBefore w:val="0"/>
              <w:widowControl w:val="0"/>
              <w:kinsoku/>
              <w:wordWrap/>
              <w:overflowPunct w:val="0"/>
              <w:topLinePunct/>
              <w:autoSpaceDE/>
              <w:autoSpaceDN/>
              <w:bidi w:val="0"/>
              <w:adjustRightInd w:val="0"/>
              <w:snapToGrid/>
              <w:spacing w:line="560" w:lineRule="exact"/>
              <w:ind w:left="466" w:leftChars="77" w:hanging="229" w:hangingChars="100"/>
              <w:textAlignment w:val="auto"/>
              <w:rPr>
                <w:rFonts w:hint="default"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9.需承诺与我院现有全院血糖管理系统相连接，承担相关费用；</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10、中标供应商需提供产品的完整资料两套。</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二、性能及参数要求</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default"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（一）血糖试纸参数</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★1、血样：毛细血管血、静脉血、全血</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2、方法学：葡萄糖氧化酶法或葡萄糖脱氢酶法或其他更优方法学</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3、需血量：≦1.0微升</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4、测试范围：1.1-27.8mmol/L</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5、红细胞压积：10%-60%</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★6、满足GB/T 19634-2021要求</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7、可以抵抗临床常见干扰物质影响</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8、质控品：≧2种质控区间</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9、试纸有效期不少于18个月</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10、测量时间：≦6秒</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11、血糖仪能自动开关机，直接显示数值，高对比度大字体，易读易认。全程图标指示，易懂易用。</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12、血糖仪通过药监局医疗器械注册证和通过药监网络安全注册审批，保证数据安全。</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13、血糖仪为血糖监测、数据回传一体机，可支持数据传输。</w:t>
            </w:r>
            <w:bookmarkStart w:id="1" w:name="_GoBack"/>
            <w:bookmarkEnd w:id="1"/>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eastAsia" w:asciiTheme="minorEastAsia" w:hAnsiTheme="minorEastAsia" w:eastAsiaTheme="minorEastAsia" w:cstheme="minorEastAsia"/>
                <w:b w:val="0"/>
                <w:color w:val="000000"/>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★14、血糖仪支持血酮检测功能。</w:t>
            </w:r>
          </w:p>
          <w:p>
            <w:pPr>
              <w:keepNext w:val="0"/>
              <w:keepLines w:val="0"/>
              <w:pageBreakBefore w:val="0"/>
              <w:widowControl w:val="0"/>
              <w:kinsoku/>
              <w:wordWrap/>
              <w:overflowPunct w:val="0"/>
              <w:topLinePunct/>
              <w:autoSpaceDE/>
              <w:autoSpaceDN/>
              <w:bidi w:val="0"/>
              <w:adjustRightInd w:val="0"/>
              <w:snapToGrid/>
              <w:spacing w:line="560" w:lineRule="exact"/>
              <w:ind w:left="465" w:leftChars="77" w:hanging="228" w:hangingChars="100"/>
              <w:textAlignment w:val="auto"/>
              <w:rPr>
                <w:rFonts w:hint="default"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000000"/>
                <w:sz w:val="24"/>
                <w:szCs w:val="24"/>
                <w:lang w:val="en-US" w:eastAsia="zh-CN"/>
              </w:rPr>
              <w:t>（二）</w:t>
            </w:r>
            <w:r>
              <w:rPr>
                <w:rFonts w:hint="eastAsia" w:asciiTheme="minorEastAsia" w:hAnsiTheme="minorEastAsia" w:eastAsiaTheme="minorEastAsia" w:cstheme="minorEastAsia"/>
                <w:b w:val="0"/>
                <w:color w:val="auto"/>
                <w:sz w:val="24"/>
                <w:szCs w:val="24"/>
                <w:lang w:val="en-US" w:eastAsia="zh-CN"/>
              </w:rPr>
              <w:t>血酮试纸参数</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★1、测试原理：干化学法，定量测定，使用微量样品快速测定血酮水平</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2、测量方式：β-羟丁酸（β-ohb），直接测量循环中的酮体，指示血液中酮体的水平，测量结果单位是：mmol/L</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★3、测试样本：静脉血，毛细血管血</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4、最低样本量：≤1.5微升</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5、测试时间：≤10秒</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6、使用及保存温度：等于或者优于18-30摄氏度</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7、相对湿度：等于或者优于10%-80%</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8、红细胞压积范围：等于或者优于30%-60%</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★9、测试范围：等于或者优于0.2-8 mmol/L</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10、产品配置：血糖血酮检测仪+试纸（含校正片）+采血针</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11、使用有效期：≥18个月</w:t>
            </w:r>
            <w:r>
              <w:rPr>
                <w:rFonts w:hint="eastAsia" w:asciiTheme="minorEastAsia" w:hAnsiTheme="minorEastAsia" w:eastAsiaTheme="minorEastAsia" w:cstheme="minorEastAsia"/>
                <w:b w:val="0"/>
                <w:color w:val="auto"/>
                <w:sz w:val="24"/>
                <w:szCs w:val="24"/>
                <w:lang w:val="en-US" w:eastAsia="zh-CN"/>
              </w:rPr>
              <w:tab/>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12、是否可追加血样：</w:t>
            </w:r>
            <w:r>
              <w:rPr>
                <w:rFonts w:hint="eastAsia" w:asciiTheme="minorEastAsia" w:hAnsiTheme="minorEastAsia" w:eastAsiaTheme="minorEastAsia" w:cstheme="minorEastAsia"/>
                <w:b w:val="0"/>
                <w:color w:val="auto"/>
                <w:sz w:val="24"/>
                <w:szCs w:val="24"/>
                <w:lang w:val="en-US" w:eastAsia="zh-CN"/>
              </w:rPr>
              <w:tab/>
            </w:r>
            <w:r>
              <w:rPr>
                <w:rFonts w:hint="eastAsia" w:asciiTheme="minorEastAsia" w:hAnsiTheme="minorEastAsia" w:eastAsiaTheme="minorEastAsia" w:cstheme="minorEastAsia"/>
                <w:b w:val="0"/>
                <w:color w:val="auto"/>
                <w:sz w:val="24"/>
                <w:szCs w:val="24"/>
                <w:lang w:val="en-US" w:eastAsia="zh-CN"/>
              </w:rPr>
              <w:t>否</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三、要求提供的证明材料包括：</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1、产品宣传彩页（中文版原件，标注有技术参数）；</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2、产品白皮书（中文版）；</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3、产品使用说明书（中文版）；</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4、产品检测报告；</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 xml:space="preserve">5、产品注册证 ； </w:t>
            </w:r>
          </w:p>
          <w:p>
            <w:pPr>
              <w:keepNext w:val="0"/>
              <w:keepLines w:val="0"/>
              <w:pageBreakBefore w:val="0"/>
              <w:widowControl w:val="0"/>
              <w:kinsoku/>
              <w:wordWrap/>
              <w:overflowPunct w:val="0"/>
              <w:topLinePunct/>
              <w:autoSpaceDE/>
              <w:autoSpaceDN/>
              <w:bidi w:val="0"/>
              <w:adjustRightInd w:val="0"/>
              <w:snapToGrid/>
              <w:spacing w:line="560" w:lineRule="exact"/>
              <w:ind w:firstLine="228" w:firstLineChars="100"/>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6、其它证明材料</w:t>
            </w:r>
          </w:p>
          <w:p>
            <w:pPr>
              <w:keepNext w:val="0"/>
              <w:keepLines w:val="0"/>
              <w:pageBreakBefore w:val="0"/>
              <w:widowControl w:val="0"/>
              <w:kinsoku/>
              <w:wordWrap/>
              <w:overflowPunct w:val="0"/>
              <w:topLinePunct/>
              <w:autoSpaceDE/>
              <w:autoSpaceDN/>
              <w:bidi w:val="0"/>
              <w:adjustRightInd w:val="0"/>
              <w:snapToGrid/>
              <w:spacing w:line="560" w:lineRule="exact"/>
              <w:ind w:firstLine="458"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000000"/>
                <w:sz w:val="24"/>
                <w:szCs w:val="24"/>
                <w:lang w:val="en-US" w:eastAsia="zh-CN"/>
              </w:rPr>
              <w:t>以上六种，需加盖公章，投标人可任意提供其中一种或者几种，但是必须要能证明所投产品的技术指标与标书要求的一致性或者差异，如果有差异，需要在技术参数偏离表中标注清楚。</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Pr>
          <w:p>
            <w:pPr>
              <w:overflowPunct w:val="0"/>
              <w:topLinePunct/>
              <w:spacing w:line="360" w:lineRule="auto"/>
              <w:rPr>
                <w:rFonts w:hint="eastAsia" w:asciiTheme="minorEastAsia" w:hAnsiTheme="minorEastAsia" w:eastAsiaTheme="minorEastAsia" w:cstheme="minorEastAsia"/>
                <w:b w:val="0"/>
                <w:color w:val="000000"/>
                <w:szCs w:val="21"/>
              </w:rPr>
            </w:pPr>
          </w:p>
          <w:p>
            <w:pPr>
              <w:overflowPunct w:val="0"/>
              <w:topLinePunct/>
              <w:spacing w:line="360" w:lineRule="auto"/>
              <w:rPr>
                <w:rFonts w:hint="eastAsia" w:asciiTheme="minorEastAsia" w:hAnsiTheme="minorEastAsia" w:eastAsiaTheme="minorEastAsia" w:cstheme="minorEastAsia"/>
                <w:b w:val="0"/>
                <w:color w:val="000000"/>
                <w:szCs w:val="21"/>
              </w:rPr>
            </w:pPr>
            <w:r>
              <w:rPr>
                <w:rFonts w:hint="eastAsia" w:asciiTheme="minorEastAsia" w:hAnsiTheme="minorEastAsia" w:eastAsiaTheme="minorEastAsia" w:cstheme="minorEastAsia"/>
                <w:b w:val="0"/>
                <w:color w:val="000000"/>
                <w:szCs w:val="21"/>
              </w:rPr>
              <w:t xml:space="preserve">        </w:t>
            </w:r>
          </w:p>
        </w:tc>
      </w:tr>
    </w:tbl>
    <w:p>
      <w:pPr>
        <w:pStyle w:val="10"/>
        <w:overflowPunct w:val="0"/>
        <w:topLinePunct/>
        <w:spacing w:line="500" w:lineRule="exact"/>
        <w:jc w:val="left"/>
        <w:rPr>
          <w:rFonts w:hint="eastAsia" w:asciiTheme="minorEastAsia" w:hAnsiTheme="minorEastAsia" w:eastAsiaTheme="minorEastAsia" w:cstheme="minorEastAsia"/>
          <w:b/>
          <w:color w:val="FF0000"/>
          <w:sz w:val="24"/>
          <w:szCs w:val="24"/>
        </w:rPr>
      </w:pPr>
    </w:p>
    <w:p>
      <w:pPr>
        <w:pStyle w:val="10"/>
        <w:overflowPunct w:val="0"/>
        <w:topLinePunct/>
        <w:spacing w:line="500" w:lineRule="exact"/>
        <w:jc w:val="left"/>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注：</w:t>
      </w:r>
    </w:p>
    <w:p>
      <w:pPr>
        <w:pStyle w:val="10"/>
        <w:keepNext w:val="0"/>
        <w:keepLines w:val="0"/>
        <w:pageBreakBefore w:val="0"/>
        <w:widowControl w:val="0"/>
        <w:kinsoku/>
        <w:wordWrap/>
        <w:overflowPunct w:val="0"/>
        <w:topLinePunct/>
        <w:autoSpaceDE/>
        <w:autoSpaceDN/>
        <w:bidi w:val="0"/>
        <w:snapToGrid/>
        <w:spacing w:line="560" w:lineRule="exact"/>
        <w:ind w:left="956" w:leftChars="154" w:hanging="482" w:hangingChars="200"/>
        <w:jc w:val="left"/>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1、</w:t>
      </w:r>
      <w:r>
        <w:rPr>
          <w:rStyle w:val="11"/>
          <w:rFonts w:hint="eastAsia" w:asciiTheme="minorEastAsia" w:hAnsiTheme="minorEastAsia" w:eastAsiaTheme="minorEastAsia" w:cstheme="minorEastAsia"/>
          <w:b/>
          <w:color w:val="FF0000"/>
          <w:sz w:val="24"/>
          <w:szCs w:val="24"/>
        </w:rPr>
        <w:t>基本要求必须全部满足要求、否则按无效标处理；所有项目</w:t>
      </w:r>
      <w:r>
        <w:rPr>
          <w:rFonts w:hint="eastAsia" w:asciiTheme="minorEastAsia" w:hAnsiTheme="minorEastAsia" w:eastAsiaTheme="minorEastAsia" w:cstheme="minorEastAsia"/>
          <w:b/>
          <w:color w:val="FF0000"/>
          <w:sz w:val="24"/>
          <w:szCs w:val="24"/>
        </w:rPr>
        <w:t>必需全部响应，否则按无效标处理；</w:t>
      </w:r>
    </w:p>
    <w:p>
      <w:pPr>
        <w:keepNext w:val="0"/>
        <w:keepLines w:val="0"/>
        <w:pageBreakBefore w:val="0"/>
        <w:widowControl w:val="0"/>
        <w:kinsoku/>
        <w:wordWrap/>
        <w:overflowPunct w:val="0"/>
        <w:topLinePunct/>
        <w:autoSpaceDE/>
        <w:autoSpaceDN/>
        <w:bidi w:val="0"/>
        <w:snapToGrid/>
        <w:spacing w:line="560" w:lineRule="exact"/>
        <w:ind w:left="932" w:leftChars="154" w:hanging="458" w:hangingChars="200"/>
        <w:textAlignment w:val="auto"/>
        <w:rPr>
          <w:rStyle w:val="11"/>
          <w:rFonts w:hint="eastAsia" w:asciiTheme="minorEastAsia" w:hAnsiTheme="minorEastAsia" w:eastAsiaTheme="minorEastAsia" w:cstheme="minorEastAsia"/>
          <w:b/>
          <w:color w:val="FF0000"/>
          <w:kern w:val="2"/>
          <w:sz w:val="24"/>
          <w:szCs w:val="24"/>
        </w:rPr>
      </w:pPr>
      <w:r>
        <w:rPr>
          <w:rStyle w:val="11"/>
          <w:rFonts w:hint="eastAsia" w:asciiTheme="minorEastAsia" w:hAnsiTheme="minorEastAsia" w:eastAsiaTheme="minorEastAsia" w:cstheme="minorEastAsia"/>
          <w:b/>
          <w:color w:val="FF0000"/>
          <w:kern w:val="2"/>
          <w:sz w:val="24"/>
          <w:szCs w:val="24"/>
        </w:rPr>
        <w:t>2、投标人应对招标文件中的技术指标逐条进行响应，在技术规范响应表中必须正面回答产品所有技术指标的响应情况。标记“★”、的重要技术参数，需附证明材料、标明所在页码，并在证明材料中标识清楚（划线或画圈），否则，评标委员会有权视其不响应；</w:t>
      </w:r>
    </w:p>
    <w:p>
      <w:pPr>
        <w:keepNext w:val="0"/>
        <w:keepLines w:val="0"/>
        <w:pageBreakBefore w:val="0"/>
        <w:widowControl w:val="0"/>
        <w:kinsoku/>
        <w:wordWrap/>
        <w:overflowPunct w:val="0"/>
        <w:topLinePunct/>
        <w:autoSpaceDE/>
        <w:autoSpaceDN/>
        <w:bidi w:val="0"/>
        <w:snapToGrid/>
        <w:spacing w:line="560" w:lineRule="exact"/>
        <w:ind w:firstLine="458" w:firstLineChars="200"/>
        <w:textAlignment w:val="auto"/>
        <w:rPr>
          <w:rStyle w:val="11"/>
          <w:rFonts w:hint="eastAsia" w:asciiTheme="minorEastAsia" w:hAnsiTheme="minorEastAsia" w:eastAsiaTheme="minorEastAsia" w:cstheme="minorEastAsia"/>
          <w:b/>
          <w:color w:val="FF0000"/>
          <w:kern w:val="2"/>
          <w:sz w:val="24"/>
          <w:szCs w:val="24"/>
        </w:rPr>
      </w:pPr>
      <w:r>
        <w:rPr>
          <w:rStyle w:val="11"/>
          <w:rFonts w:hint="eastAsia" w:asciiTheme="minorEastAsia" w:hAnsiTheme="minorEastAsia" w:eastAsiaTheme="minorEastAsia" w:cstheme="minorEastAsia"/>
          <w:b/>
          <w:color w:val="FF0000"/>
          <w:kern w:val="2"/>
          <w:sz w:val="24"/>
          <w:szCs w:val="24"/>
        </w:rPr>
        <w:t>3、如验收时发现有虚假应标，将上报监管部门。</w:t>
      </w:r>
    </w:p>
    <w:p>
      <w:pPr>
        <w:overflowPunct w:val="0"/>
        <w:topLinePunct/>
        <w:rPr>
          <w:rFonts w:hint="eastAsia" w:asciiTheme="minorEastAsia" w:hAnsiTheme="minorEastAsia" w:eastAsiaTheme="minorEastAsia" w:cstheme="minorEastAsia"/>
          <w:b/>
          <w:bCs/>
          <w:sz w:val="28"/>
          <w:szCs w:val="28"/>
        </w:rPr>
      </w:pPr>
    </w:p>
    <w:p>
      <w:pPr>
        <w:overflowPunct w:val="0"/>
        <w:topLinePun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二、商务要求</w:t>
      </w:r>
    </w:p>
    <w:p>
      <w:pPr>
        <w:overflowPunct w:val="0"/>
        <w:topLinePun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tbl>
      <w:tblPr>
        <w:tblStyle w:val="8"/>
        <w:tblW w:w="87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6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24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序号</w:t>
            </w:r>
          </w:p>
        </w:tc>
        <w:tc>
          <w:tcPr>
            <w:tcW w:w="1701" w:type="dxa"/>
            <w:vAlign w:val="center"/>
          </w:tcPr>
          <w:p>
            <w:pPr>
              <w:overflowPunct w:val="0"/>
              <w:topLinePunct/>
              <w:spacing w:line="24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内容</w:t>
            </w:r>
          </w:p>
        </w:tc>
        <w:tc>
          <w:tcPr>
            <w:tcW w:w="6294" w:type="dxa"/>
            <w:vAlign w:val="center"/>
          </w:tcPr>
          <w:p>
            <w:pPr>
              <w:overflowPunct w:val="0"/>
              <w:topLinePunct/>
              <w:spacing w:line="24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p>
        </w:tc>
        <w:tc>
          <w:tcPr>
            <w:tcW w:w="1701"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合同签订地点</w:t>
            </w:r>
          </w:p>
        </w:tc>
        <w:tc>
          <w:tcPr>
            <w:tcW w:w="6294" w:type="dxa"/>
            <w:vAlign w:val="center"/>
          </w:tcPr>
          <w:p>
            <w:pPr>
              <w:overflowPunct w:val="0"/>
              <w:topLinePunct/>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黄山市屯溪区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p>
        </w:tc>
        <w:tc>
          <w:tcPr>
            <w:tcW w:w="1701"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供货完成时限的期限</w:t>
            </w:r>
          </w:p>
        </w:tc>
        <w:tc>
          <w:tcPr>
            <w:tcW w:w="6294" w:type="dxa"/>
            <w:vAlign w:val="center"/>
          </w:tcPr>
          <w:p>
            <w:pPr>
              <w:overflowPunct w:val="0"/>
              <w:topLinePunct/>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根据采购人需求按需供货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p>
        </w:tc>
        <w:tc>
          <w:tcPr>
            <w:tcW w:w="1701"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货物包装运输要求</w:t>
            </w:r>
          </w:p>
        </w:tc>
        <w:tc>
          <w:tcPr>
            <w:tcW w:w="6294" w:type="dxa"/>
            <w:vAlign w:val="center"/>
          </w:tcPr>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项目中涉及商品包装和快递包装的，按照安徽省财政厅、安徽省生态环境厅、安徽省邮政管理局《关于转发财政部办公厅生态环境部办公厅国家邮政局办公室关于印发&lt;商品包装政府采购需求标准（试行）&gt;&lt;快递包装政府采购需求标准（试行）&gt;的通知》执行。</w:t>
            </w:r>
          </w:p>
          <w:p>
            <w:pPr>
              <w:overflowPunct w:val="0"/>
              <w:topLinePunct/>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w:t>
            </w:r>
          </w:p>
        </w:tc>
        <w:tc>
          <w:tcPr>
            <w:tcW w:w="1701"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验收</w:t>
            </w:r>
          </w:p>
        </w:tc>
        <w:tc>
          <w:tcPr>
            <w:tcW w:w="6294" w:type="dxa"/>
            <w:vAlign w:val="center"/>
          </w:tcPr>
          <w:p>
            <w:pPr>
              <w:overflowPunct w:val="0"/>
              <w:topLinePunct/>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5</w:t>
            </w:r>
          </w:p>
        </w:tc>
        <w:tc>
          <w:tcPr>
            <w:tcW w:w="1701"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付款</w:t>
            </w:r>
          </w:p>
        </w:tc>
        <w:tc>
          <w:tcPr>
            <w:tcW w:w="6294" w:type="dxa"/>
            <w:vAlign w:val="center"/>
          </w:tcPr>
          <w:p>
            <w:pPr>
              <w:overflowPunct w:val="0"/>
              <w:topLinePunct/>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付款人：黄山市中医医院</w:t>
            </w:r>
          </w:p>
          <w:p>
            <w:pPr>
              <w:overflowPunct w:val="0"/>
              <w:topLinePunct/>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付款方式：按需供货，根据医院财务制度付耗材款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p>
        </w:tc>
        <w:tc>
          <w:tcPr>
            <w:tcW w:w="1701" w:type="dxa"/>
            <w:vAlign w:val="center"/>
          </w:tcPr>
          <w:p>
            <w:pPr>
              <w:overflowPunct w:val="0"/>
              <w:topLinePunct/>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履约保证金</w:t>
            </w:r>
          </w:p>
        </w:tc>
        <w:tc>
          <w:tcPr>
            <w:tcW w:w="6294" w:type="dxa"/>
            <w:vAlign w:val="center"/>
          </w:tcPr>
          <w:p>
            <w:pPr>
              <w:overflowPunct w:val="0"/>
              <w:topLinePunct/>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无</w:t>
            </w:r>
          </w:p>
        </w:tc>
      </w:tr>
    </w:tbl>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WZT-EN">
    <w:altName w:val="宋体"/>
    <w:panose1 w:val="02020400000000000000"/>
    <w:charset w:val="86"/>
    <w:family w:val="auto"/>
    <w:pitch w:val="default"/>
    <w:sig w:usb0="00000000" w:usb1="00000000" w:usb2="00082016" w:usb3="00000000" w:csb0="00000003" w:csb1="00000000"/>
    <w:embedRegular r:id="rId1" w:fontKey="{8C2F085F-2060-4C66-A3DD-4F7E052A7ECD}"/>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4316C336-5D6C-414E-B9F8-0E29DD2E2AFD}"/>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D3E746"/>
    <w:multiLevelType w:val="singleLevel"/>
    <w:tmpl w:val="CBD3E7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00000"/>
    <w:rsid w:val="01E227AE"/>
    <w:rsid w:val="046441B2"/>
    <w:rsid w:val="06B17456"/>
    <w:rsid w:val="087C4CFB"/>
    <w:rsid w:val="0B8855DA"/>
    <w:rsid w:val="0E8625BA"/>
    <w:rsid w:val="109864A6"/>
    <w:rsid w:val="11D82756"/>
    <w:rsid w:val="121D48EB"/>
    <w:rsid w:val="124F7451"/>
    <w:rsid w:val="12C82042"/>
    <w:rsid w:val="15C77B67"/>
    <w:rsid w:val="15FE58BB"/>
    <w:rsid w:val="161F1ADD"/>
    <w:rsid w:val="16C21142"/>
    <w:rsid w:val="18C07B51"/>
    <w:rsid w:val="19BF23C5"/>
    <w:rsid w:val="1BC274C1"/>
    <w:rsid w:val="1CC33C4E"/>
    <w:rsid w:val="1D11136A"/>
    <w:rsid w:val="1F58270D"/>
    <w:rsid w:val="21881CE4"/>
    <w:rsid w:val="2253620E"/>
    <w:rsid w:val="25494FD2"/>
    <w:rsid w:val="258E2BE2"/>
    <w:rsid w:val="2CB159B6"/>
    <w:rsid w:val="2E6F28D1"/>
    <w:rsid w:val="2FC84D50"/>
    <w:rsid w:val="2FF959E2"/>
    <w:rsid w:val="32116E77"/>
    <w:rsid w:val="336004DC"/>
    <w:rsid w:val="34026D20"/>
    <w:rsid w:val="353C6547"/>
    <w:rsid w:val="358B6F41"/>
    <w:rsid w:val="370B658B"/>
    <w:rsid w:val="3B8A66F6"/>
    <w:rsid w:val="3C5E1A95"/>
    <w:rsid w:val="3C786E26"/>
    <w:rsid w:val="404D3763"/>
    <w:rsid w:val="407968F4"/>
    <w:rsid w:val="42AB1CC8"/>
    <w:rsid w:val="42BB4016"/>
    <w:rsid w:val="430226BC"/>
    <w:rsid w:val="43C11666"/>
    <w:rsid w:val="446E70C1"/>
    <w:rsid w:val="47617B01"/>
    <w:rsid w:val="497465F4"/>
    <w:rsid w:val="4AD07E93"/>
    <w:rsid w:val="4B711A64"/>
    <w:rsid w:val="4E937CBC"/>
    <w:rsid w:val="508267A2"/>
    <w:rsid w:val="50E83EC0"/>
    <w:rsid w:val="52B07656"/>
    <w:rsid w:val="52DB6B31"/>
    <w:rsid w:val="563F1FF1"/>
    <w:rsid w:val="5777152C"/>
    <w:rsid w:val="5A4E7785"/>
    <w:rsid w:val="5B193F77"/>
    <w:rsid w:val="5B411CCC"/>
    <w:rsid w:val="5CBB1A4D"/>
    <w:rsid w:val="5D724229"/>
    <w:rsid w:val="5E5D41D4"/>
    <w:rsid w:val="5F35304F"/>
    <w:rsid w:val="629E16B8"/>
    <w:rsid w:val="6384309D"/>
    <w:rsid w:val="65AE0229"/>
    <w:rsid w:val="6636653D"/>
    <w:rsid w:val="66E90B75"/>
    <w:rsid w:val="69567A26"/>
    <w:rsid w:val="697E40EB"/>
    <w:rsid w:val="6CE40709"/>
    <w:rsid w:val="6E704F7A"/>
    <w:rsid w:val="6EE507C8"/>
    <w:rsid w:val="727162DD"/>
    <w:rsid w:val="73635843"/>
    <w:rsid w:val="755C3C0D"/>
    <w:rsid w:val="760E4D52"/>
    <w:rsid w:val="7637176F"/>
    <w:rsid w:val="77643411"/>
    <w:rsid w:val="78342545"/>
    <w:rsid w:val="7834322A"/>
    <w:rsid w:val="794A0DC8"/>
    <w:rsid w:val="7A0423EA"/>
    <w:rsid w:val="7AB1581D"/>
    <w:rsid w:val="7B5F2958"/>
    <w:rsid w:val="7B952448"/>
    <w:rsid w:val="7BDF4EBD"/>
    <w:rsid w:val="7FD7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snapToGrid/>
      <w:jc w:val="both"/>
    </w:pPr>
    <w:rPr>
      <w:rFonts w:ascii="GWZT-EN" w:hAnsi="Tahoma" w:eastAsia="仿宋" w:cs="Times New Roman"/>
      <w:spacing w:val="-6"/>
      <w:kern w:val="2"/>
      <w:sz w:val="32"/>
      <w:szCs w:val="32"/>
      <w:lang w:val="en-US" w:eastAsia="zh-CN" w:bidi="ar-SA"/>
    </w:rPr>
  </w:style>
  <w:style w:type="paragraph" w:styleId="2">
    <w:name w:val="heading 1"/>
    <w:next w:val="1"/>
    <w:qFormat/>
    <w:uiPriority w:val="0"/>
    <w:pPr>
      <w:keepNext w:val="0"/>
      <w:keepLines w:val="0"/>
      <w:widowControl w:val="0"/>
      <w:overflowPunct w:val="0"/>
      <w:topLinePunct/>
      <w:adjustRightInd/>
      <w:snapToGrid/>
      <w:spacing w:line="240" w:lineRule="auto"/>
      <w:jc w:val="both"/>
      <w:outlineLvl w:val="0"/>
    </w:pPr>
    <w:rPr>
      <w:rFonts w:ascii="GWZT-EN" w:hAnsi="Times New Roman" w:eastAsia="黑体" w:cs="Times New Roman"/>
      <w:kern w:val="2"/>
      <w:sz w:val="32"/>
      <w:szCs w:val="32"/>
    </w:rPr>
  </w:style>
  <w:style w:type="paragraph" w:styleId="3">
    <w:name w:val="heading 2"/>
    <w:next w:val="1"/>
    <w:semiHidden/>
    <w:unhideWhenUsed/>
    <w:qFormat/>
    <w:uiPriority w:val="9"/>
    <w:pPr>
      <w:keepNext w:val="0"/>
      <w:keepLines w:val="0"/>
      <w:widowControl w:val="0"/>
      <w:overflowPunct w:val="0"/>
      <w:topLinePunct/>
      <w:spacing w:line="240" w:lineRule="auto"/>
      <w:jc w:val="both"/>
      <w:outlineLvl w:val="1"/>
    </w:pPr>
    <w:rPr>
      <w:rFonts w:ascii="GWZT-EN" w:eastAsia="楷体" w:cs="Times New Roman" w:hAnsiTheme="majorHAnsi"/>
      <w:kern w:val="2"/>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jc w:val="left"/>
    </w:pPr>
    <w:rPr>
      <w:rFonts w:ascii="Arial" w:hAnsi="Arial" w:eastAsia="黑体"/>
      <w:b/>
      <w:sz w:val="32"/>
    </w:rPr>
  </w:style>
  <w:style w:type="paragraph" w:styleId="6">
    <w:name w:val="Date"/>
    <w:basedOn w:val="1"/>
    <w:next w:val="1"/>
    <w:qFormat/>
    <w:uiPriority w:val="0"/>
    <w:rPr>
      <w:rFonts w:ascii="仿宋_GB2312" w:eastAsia="仿宋_GB2312"/>
      <w:sz w:val="30"/>
      <w:lang w:bidi="he-IL"/>
    </w:rPr>
  </w:style>
  <w:style w:type="paragraph" w:customStyle="1" w:styleId="9">
    <w:name w:val="H1"/>
    <w:basedOn w:val="3"/>
    <w:next w:val="1"/>
    <w:qFormat/>
    <w:uiPriority w:val="0"/>
    <w:pPr>
      <w:widowControl w:val="0"/>
      <w:adjustRightInd/>
      <w:snapToGrid/>
      <w:spacing w:before="0" w:after="0" w:line="600" w:lineRule="exact"/>
      <w:jc w:val="center"/>
    </w:pPr>
    <w:rPr>
      <w:rFonts w:ascii="GWZT-EN" w:hAnsi="宋体" w:eastAsia="黑体" w:cs="Times New Roman"/>
      <w:color w:val="000000"/>
      <w:kern w:val="2"/>
      <w:szCs w:val="21"/>
    </w:rPr>
  </w:style>
  <w:style w:type="paragraph" w:customStyle="1" w:styleId="10">
    <w:name w:val="正文_0_0"/>
    <w:qFormat/>
    <w:uiPriority w:val="0"/>
    <w:pPr>
      <w:widowControl w:val="0"/>
      <w:jc w:val="both"/>
    </w:pPr>
    <w:rPr>
      <w:rFonts w:ascii="GWZT-EN" w:hAnsi="Times New Roman" w:eastAsia="宋体" w:cs="Times New Roman"/>
      <w:kern w:val="2"/>
      <w:sz w:val="21"/>
      <w:lang w:val="en-US" w:eastAsia="zh-CN" w:bidi="ar-SA"/>
    </w:rPr>
  </w:style>
  <w:style w:type="character" w:customStyle="1" w:styleId="11">
    <w:name w:val="NormalCharacter"/>
    <w:semiHidden/>
    <w:qFormat/>
    <w:uiPriority w:val="0"/>
    <w:rPr>
      <w:rFonts w:ascii="GWZT-EN"/>
    </w:rPr>
  </w:style>
  <w:style w:type="paragraph" w:customStyle="1" w:styleId="12">
    <w:name w:val="表格文字"/>
    <w:basedOn w:val="1"/>
    <w:next w:val="5"/>
    <w:qFormat/>
    <w:uiPriority w:val="0"/>
    <w:pPr>
      <w:adjustRightInd w:val="0"/>
      <w:spacing w:line="420" w:lineRule="atLeast"/>
      <w:textAlignment w:val="baseline"/>
    </w:pPr>
    <w:rPr>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1927</Words>
  <Characters>2050</Characters>
  <Lines>0</Lines>
  <Paragraphs>0</Paragraphs>
  <TotalTime>4</TotalTime>
  <ScaleCrop>false</ScaleCrop>
  <LinksUpToDate>false</LinksUpToDate>
  <CharactersWithSpaces>2096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2026-01-07T11:02:48Z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KSOTemplateDocerSaveRecord">
    <vt:lpwstr>eyJoZGlkIjoiOTc3M2Y5NzIzMDFlZjAyY2Q4Njk5ODkyYjFjNzBiNTQiLCJ1c2VySWQiOiIxMTUzNzEyMTQ1In0=</vt:lpwstr>
  </property>
  <property fmtid="{D5CDD505-2E9C-101B-9397-08002B2CF9AE}" pid="4" name="ICV">
    <vt:lpwstr>E61D832B9C9B4BE4B0327137AE2526D6_12</vt:lpwstr>
  </property>
</Properties>
</file>