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val="en-US" w:eastAsia="zh-CN"/>
        </w:rPr>
        <w:t>黄山市中医医院256排CT维保服务</w:t>
      </w:r>
      <w:r>
        <w:rPr>
          <w:rFonts w:hint="eastAsia" w:ascii="方正小标宋简体" w:hAnsi="方正小标宋简体" w:eastAsia="方正小标宋简体" w:cs="方正小标宋简体"/>
          <w:b w:val="0"/>
          <w:bCs w:val="0"/>
          <w:sz w:val="36"/>
          <w:szCs w:val="36"/>
        </w:rPr>
        <w:t>采购</w:t>
      </w:r>
      <w:r>
        <w:rPr>
          <w:rFonts w:hint="eastAsia" w:ascii="方正小标宋简体" w:hAnsi="方正小标宋简体" w:eastAsia="方正小标宋简体" w:cs="方正小标宋简体"/>
          <w:b w:val="0"/>
          <w:bCs w:val="0"/>
          <w:sz w:val="36"/>
          <w:szCs w:val="36"/>
          <w:lang w:val="en-US" w:eastAsia="zh-CN"/>
        </w:rPr>
        <w:t>需求</w:t>
      </w:r>
    </w:p>
    <w:p>
      <w:pPr>
        <w:pageBreakBefore w:val="0"/>
        <w:kinsoku/>
        <w:wordWrap/>
        <w:overflowPunct/>
        <w:topLinePunct w:val="0"/>
        <w:autoSpaceDE/>
        <w:autoSpaceDN/>
        <w:bidi w:val="0"/>
        <w:spacing w:line="520" w:lineRule="exact"/>
        <w:textAlignment w:val="auto"/>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一、服务要求：</w:t>
      </w:r>
    </w:p>
    <w:p>
      <w:pPr>
        <w:pageBreakBefore w:val="0"/>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★1、保修范围：设备主机及其附属配件技术保，包含标准保养、人工服务、故障判断、安全升级等服务；</w:t>
      </w:r>
    </w:p>
    <w:p>
      <w:pPr>
        <w:pageBreakBefore w:val="0"/>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2、保修年限：</w:t>
      </w:r>
      <w:r>
        <w:rPr>
          <w:rFonts w:hint="default"/>
          <w:color w:val="FF0000"/>
          <w:sz w:val="28"/>
          <w:szCs w:val="28"/>
        </w:rPr>
        <w:t>服务期限：</w:t>
      </w:r>
      <w:r>
        <w:rPr>
          <w:rFonts w:hint="eastAsia"/>
          <w:color w:val="FF0000"/>
          <w:sz w:val="28"/>
          <w:szCs w:val="28"/>
          <w:lang w:val="en-US" w:eastAsia="zh-CN"/>
        </w:rPr>
        <w:t>3</w:t>
      </w:r>
      <w:r>
        <w:rPr>
          <w:rFonts w:hint="default"/>
          <w:color w:val="FF0000"/>
          <w:sz w:val="28"/>
          <w:szCs w:val="28"/>
        </w:rPr>
        <w:t>年（</w:t>
      </w:r>
      <w:r>
        <w:rPr>
          <w:rFonts w:hint="eastAsia"/>
          <w:color w:val="FF0000"/>
          <w:sz w:val="28"/>
          <w:szCs w:val="28"/>
          <w:lang w:val="en-US" w:eastAsia="zh-CN"/>
        </w:rPr>
        <w:t>根据考核结果，合同采用1+1+1模式签订</w:t>
      </w:r>
      <w:r>
        <w:rPr>
          <w:rFonts w:hint="default"/>
          <w:color w:val="FF0000"/>
          <w:sz w:val="28"/>
          <w:szCs w:val="28"/>
        </w:rPr>
        <w:t>）</w:t>
      </w:r>
      <w:r>
        <w:rPr>
          <w:rFonts w:hint="eastAsia" w:asciiTheme="minorEastAsia" w:hAnsiTheme="minorEastAsia" w:eastAsiaTheme="minorEastAsia" w:cstheme="minorEastAsia"/>
          <w:sz w:val="28"/>
          <w:szCs w:val="28"/>
          <w:lang w:val="en-US" w:eastAsia="zh-CN"/>
        </w:rPr>
        <w:t>；</w:t>
      </w:r>
      <w:bookmarkStart w:id="0" w:name="_GoBack"/>
      <w:bookmarkEnd w:id="0"/>
    </w:p>
    <w:p>
      <w:pPr>
        <w:pageBreakBefore w:val="0"/>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开机率保证：保修期间要确保系统的正常运行，保证全年开机率（按365天/年计算）开机率≥95%（因配件购买不及时等原因除外）。年开机率不足95%，需按1:3（停机一天延长3天）天数延长，延长期中出现停机按同样比例要求延长保修期；</w:t>
      </w:r>
    </w:p>
    <w:p>
      <w:pPr>
        <w:pageBreakBefore w:val="0"/>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4、响应时间：故障报修后2小时内电话响应，宕机情况下24小时工程师必须赶到现场进行维修；</w:t>
      </w:r>
    </w:p>
    <w:p>
      <w:pPr>
        <w:pageBreakBefore w:val="0"/>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维护保养：保修期间中标单位应按规范实施对设备的周期维护保养，周期维护保养≥4次，应包括且不仅限于机器清洁除尘、性能测试及校准、必要的机械或电气的检查，使用指导，以及非紧急性质的补救维修，确保系统能按照制造商的产品规格运行的维修；每次进行维保工作均应出具正规维保工作报告并由双方相关人员进行签字确认。</w:t>
      </w:r>
    </w:p>
    <w:p>
      <w:pPr>
        <w:pageBreakBefore w:val="0"/>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6、具有 400 电话支持热线：提供800或400号码；</w:t>
      </w:r>
    </w:p>
    <w:p>
      <w:pPr>
        <w:pageBreakBefore w:val="0"/>
        <w:kinsoku/>
        <w:wordWrap/>
        <w:overflowPunct/>
        <w:topLinePunct w:val="0"/>
        <w:autoSpaceDE/>
        <w:autoSpaceDN/>
        <w:bidi w:val="0"/>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★7、具备备件库或固定的专业维修站：存放所有必须的备件，并保证必要的备件供应，提供优质、及时的技术服务（需提供维修站名称和联系方式）。</w:t>
      </w:r>
    </w:p>
    <w:p>
      <w:pPr>
        <w:pageBreakBefore w:val="0"/>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8、具备互联网远程故障排除能力：能通过互联网连接远程进行故障排除，能通过互联网连接进行远程应用支持且可以实时显示操作界面（提供相应截图）。</w:t>
      </w:r>
    </w:p>
    <w:p>
      <w:pPr>
        <w:pageBreakBefore w:val="0"/>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维保公司专职工程师人数：为保证24小时服务响应，供应商需配备不少于三名CT专职工程师待命确保及时维修，保障设备正常运行。提供原设备制造商颁发的具备CT设备维修专业能力的资质（资格）证书和近3个月的社保证明。</w:t>
      </w:r>
    </w:p>
    <w:p>
      <w:pPr>
        <w:pageBreakBefore w:val="0"/>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★10、供货证明：供应商承诺中标后提供设备制造商的备件及技术支持供货协议书。（响应文件提供承诺函，格式自拟，合同签订前如不能提供，按《民法典》等有关规定处理；</w:t>
      </w:r>
    </w:p>
    <w:p>
      <w:pPr>
        <w:pageBreakBefore w:val="0"/>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★11、安全升级、安全检查、质量保证：提供原设备制造商标准的安全升级、安全检查、质量保证。符合《中华人民共和国著作权法》等相关法律法规的要求（响应文件中提供承诺函，格式自拟）；</w:t>
      </w:r>
    </w:p>
    <w:p>
      <w:pPr>
        <w:pageBreakBefore w:val="0"/>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12、签订合同后提供设备预防性维护计划，定期向医院提供设备预防性维护记录、设备预防性维护分析报改进及落实情况等相关记录；</w:t>
      </w:r>
    </w:p>
    <w:p>
      <w:pPr>
        <w:pageBreakBefore w:val="0"/>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13、为保证设备的稳定运行、软件和系统的及时更新，中标单位在签订合同时，须提供原厂授权书。</w:t>
      </w:r>
    </w:p>
    <w:p>
      <w:pPr>
        <w:pageBreakBefore w:val="0"/>
        <w:numPr>
          <w:ilvl w:val="0"/>
          <w:numId w:val="1"/>
        </w:numPr>
        <w:kinsoku/>
        <w:wordWrap/>
        <w:overflowPunct/>
        <w:topLinePunct w:val="0"/>
        <w:autoSpaceDE/>
        <w:autoSpaceDN/>
        <w:bidi w:val="0"/>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中标单位在签订合同时需列出常用的备品备件名称及相应更换全新配件价格（除另有相关约定配件价格外，配件价格不得高于市场价），所有设备配件需提供原厂配件，须提供由原厂出具的承诺书。</w:t>
      </w:r>
    </w:p>
    <w:p>
      <w:pPr>
        <w:pStyle w:val="7"/>
        <w:pageBreakBefore w:val="0"/>
        <w:kinsoku/>
        <w:wordWrap/>
        <w:overflowPunct/>
        <w:topLinePunct w:val="0"/>
        <w:autoSpaceDE/>
        <w:autoSpaceDN/>
        <w:bidi w:val="0"/>
        <w:spacing w:line="520" w:lineRule="exact"/>
        <w:ind w:firstLine="551" w:firstLineChars="196"/>
        <w:jc w:val="left"/>
        <w:textAlignment w:val="auto"/>
        <w:rPr>
          <w:b/>
          <w:sz w:val="28"/>
          <w:szCs w:val="28"/>
        </w:rPr>
      </w:pPr>
      <w:r>
        <w:rPr>
          <w:b/>
          <w:sz w:val="28"/>
          <w:szCs w:val="28"/>
        </w:rPr>
        <w:t xml:space="preserve"> </w:t>
      </w:r>
    </w:p>
    <w:p>
      <w:pPr>
        <w:pStyle w:val="7"/>
        <w:pageBreakBefore w:val="0"/>
        <w:kinsoku/>
        <w:wordWrap/>
        <w:overflowPunct/>
        <w:topLinePunct w:val="0"/>
        <w:autoSpaceDE/>
        <w:autoSpaceDN/>
        <w:bidi w:val="0"/>
        <w:spacing w:line="520" w:lineRule="exact"/>
        <w:ind w:firstLine="551" w:firstLineChars="196"/>
        <w:jc w:val="left"/>
        <w:textAlignment w:val="auto"/>
        <w:rPr>
          <w:b/>
          <w:sz w:val="28"/>
          <w:szCs w:val="28"/>
        </w:rPr>
      </w:pPr>
    </w:p>
    <w:p>
      <w:pPr>
        <w:pStyle w:val="7"/>
        <w:pageBreakBefore w:val="0"/>
        <w:kinsoku/>
        <w:wordWrap/>
        <w:overflowPunct/>
        <w:topLinePunct w:val="0"/>
        <w:autoSpaceDE/>
        <w:autoSpaceDN/>
        <w:bidi w:val="0"/>
        <w:spacing w:line="520" w:lineRule="exact"/>
        <w:ind w:firstLine="551" w:firstLineChars="196"/>
        <w:jc w:val="left"/>
        <w:textAlignment w:val="auto"/>
        <w:rPr>
          <w:b/>
          <w:sz w:val="28"/>
          <w:szCs w:val="28"/>
        </w:rPr>
      </w:pPr>
    </w:p>
    <w:p>
      <w:pPr>
        <w:pStyle w:val="7"/>
        <w:pageBreakBefore w:val="0"/>
        <w:kinsoku/>
        <w:wordWrap/>
        <w:overflowPunct/>
        <w:topLinePunct w:val="0"/>
        <w:autoSpaceDE/>
        <w:autoSpaceDN/>
        <w:bidi w:val="0"/>
        <w:spacing w:line="520" w:lineRule="exact"/>
        <w:ind w:firstLine="551" w:firstLineChars="196"/>
        <w:jc w:val="left"/>
        <w:textAlignment w:val="auto"/>
        <w:rPr>
          <w:b/>
          <w:sz w:val="28"/>
          <w:szCs w:val="28"/>
        </w:rPr>
      </w:pPr>
      <w:r>
        <w:rPr>
          <w:rFonts w:hint="eastAsia"/>
          <w:b/>
          <w:sz w:val="28"/>
          <w:szCs w:val="28"/>
        </w:rPr>
        <w:t>注：</w:t>
      </w:r>
    </w:p>
    <w:p>
      <w:pPr>
        <w:pStyle w:val="7"/>
        <w:pageBreakBefore w:val="0"/>
        <w:kinsoku/>
        <w:wordWrap/>
        <w:overflowPunct/>
        <w:topLinePunct w:val="0"/>
        <w:autoSpaceDE/>
        <w:autoSpaceDN/>
        <w:bidi w:val="0"/>
        <w:spacing w:line="520" w:lineRule="exact"/>
        <w:ind w:left="865" w:leftChars="393"/>
        <w:jc w:val="left"/>
        <w:textAlignment w:val="auto"/>
        <w:rPr>
          <w:b/>
          <w:sz w:val="28"/>
          <w:szCs w:val="28"/>
        </w:rPr>
      </w:pPr>
      <w:r>
        <w:rPr>
          <w:b/>
          <w:sz w:val="28"/>
          <w:szCs w:val="28"/>
        </w:rPr>
        <w:t>1</w:t>
      </w:r>
      <w:r>
        <w:rPr>
          <w:rFonts w:hint="eastAsia"/>
          <w:b/>
          <w:sz w:val="28"/>
          <w:szCs w:val="28"/>
        </w:rPr>
        <w:t>、</w:t>
      </w:r>
      <w:r>
        <w:rPr>
          <w:rStyle w:val="8"/>
          <w:rFonts w:hint="eastAsia" w:ascii="宋体" w:hAnsi="宋体" w:cs="宋体"/>
          <w:b/>
          <w:sz w:val="28"/>
          <w:szCs w:val="28"/>
          <w:lang w:val="en-US" w:eastAsia="zh-CN"/>
        </w:rPr>
        <w:t>服务</w:t>
      </w:r>
      <w:r>
        <w:rPr>
          <w:rStyle w:val="8"/>
          <w:rFonts w:hint="eastAsia" w:ascii="宋体" w:hAnsi="宋体" w:cs="宋体"/>
          <w:b/>
          <w:sz w:val="28"/>
          <w:szCs w:val="28"/>
        </w:rPr>
        <w:t>要求必须全部满足要求、否则按无效标处理；</w:t>
      </w:r>
    </w:p>
    <w:p>
      <w:pPr>
        <w:pStyle w:val="7"/>
        <w:pageBreakBefore w:val="0"/>
        <w:kinsoku/>
        <w:wordWrap/>
        <w:overflowPunct/>
        <w:topLinePunct w:val="0"/>
        <w:autoSpaceDE/>
        <w:autoSpaceDN/>
        <w:bidi w:val="0"/>
        <w:spacing w:line="520" w:lineRule="exact"/>
        <w:ind w:left="865" w:leftChars="393"/>
        <w:jc w:val="left"/>
        <w:textAlignment w:val="auto"/>
        <w:rPr>
          <w:b/>
          <w:sz w:val="28"/>
          <w:szCs w:val="28"/>
        </w:rPr>
      </w:pPr>
    </w:p>
    <w:p>
      <w:pPr>
        <w:pageBreakBefore w:val="0"/>
        <w:kinsoku/>
        <w:wordWrap/>
        <w:overflowPunct/>
        <w:topLinePunct w:val="0"/>
        <w:autoSpaceDE/>
        <w:autoSpaceDN/>
        <w:bidi w:val="0"/>
        <w:spacing w:line="520" w:lineRule="exact"/>
        <w:ind w:left="871" w:leftChars="396"/>
        <w:textAlignment w:val="auto"/>
        <w:rPr>
          <w:rFonts w:ascii="宋体"/>
          <w:b/>
          <w:bCs/>
          <w:sz w:val="28"/>
          <w:szCs w:val="28"/>
        </w:rPr>
      </w:pPr>
      <w:r>
        <w:rPr>
          <w:rFonts w:ascii="宋体" w:hAnsi="宋体" w:cs="宋体"/>
          <w:b/>
          <w:bCs/>
          <w:sz w:val="28"/>
          <w:szCs w:val="28"/>
        </w:rPr>
        <w:t>2</w:t>
      </w:r>
      <w:r>
        <w:rPr>
          <w:rFonts w:hint="eastAsia" w:ascii="宋体" w:hAnsi="宋体" w:cs="宋体"/>
          <w:b/>
          <w:bCs/>
          <w:sz w:val="28"/>
          <w:szCs w:val="28"/>
        </w:rPr>
        <w:t>、投标人应对招标文件中的技术指标逐条进行响应，在技术规范响应表中必须正面回答产品所有技术指标的响应情况。</w:t>
      </w:r>
      <w:r>
        <w:rPr>
          <w:rFonts w:hint="eastAsia" w:ascii="宋体" w:hAnsi="宋体" w:cs="宋体"/>
          <w:b/>
          <w:bCs/>
          <w:color w:val="FF0000"/>
          <w:sz w:val="28"/>
          <w:szCs w:val="28"/>
        </w:rPr>
        <w:t>标记“★”的重要技术参数</w:t>
      </w:r>
      <w:r>
        <w:rPr>
          <w:rFonts w:hint="eastAsia" w:ascii="宋体" w:hAnsi="宋体" w:cs="宋体"/>
          <w:b/>
          <w:bCs/>
          <w:color w:val="FF0000"/>
          <w:sz w:val="28"/>
          <w:szCs w:val="28"/>
          <w:lang w:eastAsia="zh-CN"/>
        </w:rPr>
        <w:t>，</w:t>
      </w:r>
      <w:r>
        <w:rPr>
          <w:rFonts w:hint="eastAsia" w:ascii="宋体" w:hAnsi="宋体" w:cs="宋体"/>
          <w:b/>
          <w:bCs/>
          <w:color w:val="FF0000"/>
          <w:sz w:val="28"/>
          <w:szCs w:val="28"/>
          <w:lang w:val="en-US" w:eastAsia="zh-CN"/>
        </w:rPr>
        <w:t>以及非</w:t>
      </w:r>
      <w:r>
        <w:rPr>
          <w:rFonts w:hint="eastAsia" w:ascii="宋体" w:hAnsi="宋体" w:cs="宋体"/>
          <w:b/>
          <w:bCs/>
          <w:color w:val="FF0000"/>
          <w:sz w:val="28"/>
          <w:szCs w:val="28"/>
        </w:rPr>
        <w:t>“★”</w:t>
      </w:r>
      <w:r>
        <w:rPr>
          <w:rFonts w:hint="eastAsia" w:ascii="宋体" w:hAnsi="宋体" w:cs="宋体"/>
          <w:b/>
          <w:bCs/>
          <w:color w:val="FF0000"/>
          <w:sz w:val="28"/>
          <w:szCs w:val="28"/>
          <w:lang w:val="en-US" w:eastAsia="zh-CN"/>
        </w:rPr>
        <w:t>参数要求提供证明材料的</w:t>
      </w:r>
      <w:r>
        <w:rPr>
          <w:rFonts w:hint="eastAsia" w:ascii="宋体" w:hAnsi="宋体" w:cs="宋体"/>
          <w:b/>
          <w:bCs/>
          <w:color w:val="FF0000"/>
          <w:sz w:val="28"/>
          <w:szCs w:val="28"/>
        </w:rPr>
        <w:t>，需附证明材料、标明所在页码，并在证明材料中标识清楚（划线或画圈）</w:t>
      </w:r>
      <w:r>
        <w:rPr>
          <w:rFonts w:hint="eastAsia" w:ascii="宋体" w:hAnsi="宋体" w:cs="宋体"/>
          <w:b/>
          <w:bCs/>
          <w:color w:val="FF6600"/>
          <w:sz w:val="28"/>
          <w:szCs w:val="28"/>
        </w:rPr>
        <w:t>，</w:t>
      </w:r>
      <w:r>
        <w:rPr>
          <w:rFonts w:hint="eastAsia" w:ascii="宋体" w:hAnsi="宋体" w:cs="宋体"/>
          <w:b/>
          <w:bCs/>
          <w:sz w:val="28"/>
          <w:szCs w:val="28"/>
        </w:rPr>
        <w:t>否则，评标委员会有权视其不响应；</w:t>
      </w:r>
    </w:p>
    <w:p>
      <w:pPr>
        <w:pageBreakBefore w:val="0"/>
        <w:kinsoku/>
        <w:wordWrap/>
        <w:overflowPunct/>
        <w:topLinePunct w:val="0"/>
        <w:autoSpaceDE/>
        <w:autoSpaceDN/>
        <w:bidi w:val="0"/>
        <w:spacing w:line="520" w:lineRule="exact"/>
        <w:ind w:firstLine="1118" w:firstLineChars="399"/>
        <w:textAlignment w:val="auto"/>
        <w:rPr>
          <w:rFonts w:hint="eastAsia" w:ascii="宋体" w:hAnsi="宋体" w:cs="宋体"/>
          <w:b/>
          <w:bCs/>
          <w:sz w:val="28"/>
          <w:szCs w:val="28"/>
        </w:rPr>
      </w:pPr>
      <w:r>
        <w:rPr>
          <w:rFonts w:ascii="宋体" w:hAnsi="宋体" w:cs="宋体"/>
          <w:b/>
          <w:bCs/>
          <w:sz w:val="28"/>
          <w:szCs w:val="28"/>
        </w:rPr>
        <w:t>3</w:t>
      </w:r>
      <w:r>
        <w:rPr>
          <w:rFonts w:hint="eastAsia" w:ascii="宋体" w:hAnsi="宋体" w:cs="宋体"/>
          <w:b/>
          <w:bCs/>
          <w:sz w:val="28"/>
          <w:szCs w:val="28"/>
        </w:rPr>
        <w:t>、如验收时发现有虚假应标，将上报监管部门。</w:t>
      </w:r>
    </w:p>
    <w:p>
      <w:pPr>
        <w:rPr>
          <w:rFonts w:hint="eastAsia" w:ascii="宋体" w:hAnsi="宋体" w:cs="宋体"/>
          <w:b/>
          <w:bCs/>
          <w:szCs w:val="21"/>
        </w:rPr>
      </w:pPr>
    </w:p>
    <w:p>
      <w:pPr>
        <w:rPr>
          <w:rFonts w:hint="eastAsia" w:ascii="宋体" w:hAnsi="宋体" w:cs="宋体"/>
          <w:b/>
          <w:bCs/>
          <w:szCs w:val="21"/>
        </w:rPr>
      </w:pPr>
    </w:p>
    <w:p>
      <w:pPr>
        <w:rPr>
          <w:rFonts w:hint="eastAsia" w:ascii="宋体" w:hAnsi="宋体" w:cs="宋体"/>
          <w:b/>
          <w:bCs/>
          <w:szCs w:val="21"/>
        </w:rPr>
      </w:pPr>
    </w:p>
    <w:p>
      <w:pP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rPr>
        <w:t>二、商务要求</w:t>
      </w:r>
      <w:r>
        <w:rPr>
          <w:rFonts w:hint="eastAsia" w:ascii="黑体" w:hAnsi="黑体" w:eastAsia="黑体" w:cs="黑体"/>
          <w:b w:val="0"/>
          <w:bCs w:val="0"/>
          <w:sz w:val="28"/>
          <w:szCs w:val="28"/>
          <w:lang w:eastAsia="zh-CN"/>
        </w:rPr>
        <w:t>：</w:t>
      </w:r>
    </w:p>
    <w:p>
      <w:pPr>
        <w:rPr>
          <w:rFonts w:ascii="宋体" w:hAnsi="宋体" w:cs="宋体"/>
          <w:b/>
          <w:bCs/>
          <w:szCs w:val="21"/>
        </w:rPr>
      </w:pPr>
      <w:r>
        <w:rPr>
          <w:rFonts w:hint="eastAsia" w:ascii="宋体" w:hAnsi="宋体" w:cs="宋体"/>
          <w:b/>
          <w:bCs/>
          <w:szCs w:val="21"/>
        </w:rPr>
        <w:t xml:space="preserve">         </w:t>
      </w:r>
    </w:p>
    <w:tbl>
      <w:tblPr>
        <w:tblStyle w:val="5"/>
        <w:tblW w:w="870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6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jc w:val="center"/>
              <w:rPr>
                <w:rFonts w:ascii="宋体" w:hAnsi="宋体" w:cs="宋体"/>
                <w:b/>
                <w:bCs/>
                <w:szCs w:val="21"/>
              </w:rPr>
            </w:pPr>
            <w:r>
              <w:rPr>
                <w:rFonts w:hint="eastAsia" w:ascii="宋体" w:hAnsi="宋体" w:cs="宋体"/>
                <w:b/>
                <w:bCs/>
                <w:szCs w:val="21"/>
              </w:rPr>
              <w:t>序号</w:t>
            </w:r>
          </w:p>
        </w:tc>
        <w:tc>
          <w:tcPr>
            <w:tcW w:w="1701" w:type="dxa"/>
            <w:vAlign w:val="center"/>
          </w:tcPr>
          <w:p>
            <w:pPr>
              <w:jc w:val="center"/>
              <w:rPr>
                <w:rFonts w:ascii="宋体" w:hAnsi="宋体" w:cs="宋体"/>
                <w:b/>
                <w:bCs/>
                <w:szCs w:val="21"/>
              </w:rPr>
            </w:pPr>
            <w:r>
              <w:rPr>
                <w:rFonts w:hint="eastAsia" w:ascii="宋体" w:hAnsi="宋体" w:cs="宋体"/>
                <w:b/>
                <w:bCs/>
                <w:szCs w:val="21"/>
              </w:rPr>
              <w:t>内容</w:t>
            </w:r>
          </w:p>
        </w:tc>
        <w:tc>
          <w:tcPr>
            <w:tcW w:w="6294" w:type="dxa"/>
            <w:vAlign w:val="center"/>
          </w:tcPr>
          <w:p>
            <w:pPr>
              <w:jc w:val="center"/>
              <w:rPr>
                <w:rFonts w:ascii="宋体" w:hAnsi="宋体" w:cs="宋体"/>
                <w:b/>
                <w:bCs/>
                <w:szCs w:val="21"/>
              </w:rPr>
            </w:pPr>
            <w:r>
              <w:rPr>
                <w:rFonts w:hint="eastAsia" w:ascii="宋体" w:hAnsi="宋体" w:cs="宋体"/>
                <w:b/>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500" w:lineRule="exact"/>
              <w:jc w:val="center"/>
              <w:rPr>
                <w:rFonts w:ascii="宋体" w:hAnsi="宋体" w:cs="宋体"/>
                <w:b/>
                <w:bCs/>
                <w:szCs w:val="21"/>
              </w:rPr>
            </w:pPr>
            <w:r>
              <w:rPr>
                <w:rFonts w:hint="eastAsia" w:ascii="宋体" w:hAnsi="宋体" w:cs="宋体"/>
                <w:b/>
                <w:bCs/>
                <w:szCs w:val="21"/>
              </w:rPr>
              <w:t>1</w:t>
            </w:r>
          </w:p>
        </w:tc>
        <w:tc>
          <w:tcPr>
            <w:tcW w:w="1701" w:type="dxa"/>
            <w:vAlign w:val="center"/>
          </w:tcPr>
          <w:p>
            <w:pPr>
              <w:spacing w:line="500" w:lineRule="exact"/>
              <w:jc w:val="center"/>
              <w:rPr>
                <w:rFonts w:ascii="宋体" w:hAnsi="宋体" w:cs="宋体"/>
                <w:b/>
                <w:bCs/>
                <w:szCs w:val="21"/>
              </w:rPr>
            </w:pPr>
            <w:r>
              <w:rPr>
                <w:rFonts w:hint="eastAsia" w:ascii="宋体" w:hAnsi="宋体" w:cs="宋体"/>
                <w:b/>
                <w:bCs/>
                <w:szCs w:val="21"/>
              </w:rPr>
              <w:t>合同签订地点</w:t>
            </w:r>
          </w:p>
        </w:tc>
        <w:tc>
          <w:tcPr>
            <w:tcW w:w="6294" w:type="dxa"/>
            <w:vAlign w:val="center"/>
          </w:tcPr>
          <w:p>
            <w:pPr>
              <w:spacing w:line="500" w:lineRule="exact"/>
              <w:rPr>
                <w:rFonts w:ascii="宋体" w:hAnsi="宋体" w:cs="宋体"/>
                <w:b/>
                <w:bCs/>
                <w:szCs w:val="21"/>
              </w:rPr>
            </w:pPr>
            <w:r>
              <w:rPr>
                <w:rFonts w:hint="eastAsia" w:ascii="宋体" w:hAnsi="宋体" w:cs="宋体"/>
                <w:b/>
                <w:bCs/>
                <w:szCs w:val="21"/>
              </w:rPr>
              <w:t>黄山市屯溪区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500" w:lineRule="exact"/>
              <w:jc w:val="center"/>
              <w:rPr>
                <w:rFonts w:ascii="宋体" w:hAnsi="宋体" w:cs="宋体"/>
                <w:b/>
                <w:bCs/>
                <w:szCs w:val="21"/>
              </w:rPr>
            </w:pPr>
            <w:r>
              <w:rPr>
                <w:rFonts w:hint="eastAsia" w:ascii="宋体" w:hAnsi="宋体" w:cs="宋体"/>
                <w:b/>
                <w:bCs/>
                <w:szCs w:val="21"/>
              </w:rPr>
              <w:t>2</w:t>
            </w:r>
          </w:p>
        </w:tc>
        <w:tc>
          <w:tcPr>
            <w:tcW w:w="1701" w:type="dxa"/>
            <w:vAlign w:val="center"/>
          </w:tcPr>
          <w:p>
            <w:pPr>
              <w:spacing w:line="500" w:lineRule="exact"/>
              <w:jc w:val="center"/>
              <w:rPr>
                <w:rFonts w:ascii="宋体" w:hAnsi="宋体" w:cs="宋体"/>
                <w:b/>
                <w:bCs/>
                <w:szCs w:val="21"/>
              </w:rPr>
            </w:pPr>
            <w:r>
              <w:rPr>
                <w:rFonts w:hint="eastAsia" w:ascii="宋体" w:hAnsi="宋体" w:cs="宋体"/>
                <w:b/>
                <w:bCs/>
                <w:szCs w:val="21"/>
                <w:lang w:val="en-US" w:eastAsia="zh-CN"/>
              </w:rPr>
              <w:t>服务</w:t>
            </w:r>
            <w:r>
              <w:rPr>
                <w:rFonts w:hint="eastAsia" w:ascii="宋体" w:hAnsi="宋体" w:cs="宋体"/>
                <w:b/>
                <w:bCs/>
                <w:szCs w:val="21"/>
              </w:rPr>
              <w:t>期限</w:t>
            </w:r>
          </w:p>
        </w:tc>
        <w:tc>
          <w:tcPr>
            <w:tcW w:w="6294" w:type="dxa"/>
            <w:vAlign w:val="center"/>
          </w:tcPr>
          <w:p>
            <w:pPr>
              <w:spacing w:line="500" w:lineRule="exact"/>
              <w:rPr>
                <w:rFonts w:hint="eastAsia" w:ascii="宋体" w:hAnsi="宋体" w:eastAsia="微软雅黑" w:cs="宋体"/>
                <w:b/>
                <w:bCs/>
                <w:szCs w:val="21"/>
                <w:lang w:eastAsia="zh-CN"/>
              </w:rPr>
            </w:pPr>
            <w:r>
              <w:rPr>
                <w:rFonts w:hint="default"/>
                <w:color w:val="FF0000"/>
              </w:rPr>
              <w:t>服务期限：</w:t>
            </w:r>
            <w:r>
              <w:rPr>
                <w:rFonts w:hint="eastAsia"/>
                <w:color w:val="FF0000"/>
                <w:lang w:val="en-US" w:eastAsia="zh-CN"/>
              </w:rPr>
              <w:t>3</w:t>
            </w:r>
            <w:r>
              <w:rPr>
                <w:rFonts w:hint="default"/>
                <w:color w:val="FF0000"/>
              </w:rPr>
              <w:t>年（</w:t>
            </w:r>
            <w:r>
              <w:rPr>
                <w:rFonts w:hint="eastAsia"/>
                <w:color w:val="FF0000"/>
                <w:lang w:val="en-US" w:eastAsia="zh-CN"/>
              </w:rPr>
              <w:t>根据考核结果，合同采用1+1+1模式签订</w:t>
            </w:r>
            <w:r>
              <w:rPr>
                <w:rFonts w:hint="default"/>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500" w:lineRule="exact"/>
              <w:jc w:val="center"/>
              <w:rPr>
                <w:rFonts w:hint="eastAsia" w:ascii="宋体" w:hAnsi="宋体" w:eastAsia="微软雅黑" w:cs="宋体"/>
                <w:b/>
                <w:bCs/>
                <w:szCs w:val="21"/>
                <w:lang w:eastAsia="zh-CN"/>
              </w:rPr>
            </w:pPr>
            <w:r>
              <w:rPr>
                <w:rFonts w:hint="eastAsia" w:ascii="宋体" w:hAnsi="宋体" w:cs="宋体"/>
                <w:b/>
                <w:bCs/>
                <w:szCs w:val="21"/>
                <w:lang w:val="en-US" w:eastAsia="zh-CN"/>
              </w:rPr>
              <w:t>3</w:t>
            </w:r>
          </w:p>
        </w:tc>
        <w:tc>
          <w:tcPr>
            <w:tcW w:w="1701" w:type="dxa"/>
            <w:vAlign w:val="center"/>
          </w:tcPr>
          <w:p>
            <w:pPr>
              <w:spacing w:line="500" w:lineRule="exact"/>
              <w:jc w:val="center"/>
              <w:rPr>
                <w:rFonts w:ascii="宋体" w:hAnsi="宋体" w:cs="宋体"/>
                <w:b/>
                <w:bCs/>
                <w:szCs w:val="21"/>
              </w:rPr>
            </w:pPr>
            <w:r>
              <w:rPr>
                <w:rFonts w:hint="eastAsia" w:ascii="宋体" w:hAnsi="宋体" w:cs="宋体"/>
                <w:b/>
                <w:bCs/>
                <w:szCs w:val="21"/>
              </w:rPr>
              <w:t>付款</w:t>
            </w:r>
          </w:p>
        </w:tc>
        <w:tc>
          <w:tcPr>
            <w:tcW w:w="6294" w:type="dxa"/>
            <w:vAlign w:val="center"/>
          </w:tcPr>
          <w:p>
            <w:pPr>
              <w:spacing w:line="500" w:lineRule="exact"/>
              <w:rPr>
                <w:rFonts w:ascii="宋体" w:hAnsi="宋体" w:cs="宋体"/>
                <w:b/>
                <w:bCs/>
                <w:szCs w:val="21"/>
              </w:rPr>
            </w:pPr>
            <w:r>
              <w:rPr>
                <w:rFonts w:hint="eastAsia" w:ascii="宋体" w:hAnsi="宋体" w:cs="宋体"/>
                <w:b/>
                <w:bCs/>
                <w:szCs w:val="21"/>
              </w:rPr>
              <w:t>付款人：黄山市中医医院</w:t>
            </w:r>
          </w:p>
          <w:p>
            <w:pPr>
              <w:spacing w:line="500" w:lineRule="exact"/>
              <w:rPr>
                <w:rFonts w:hint="eastAsia" w:ascii="宋体" w:hAnsi="宋体" w:eastAsia="微软雅黑" w:cs="宋体"/>
                <w:b/>
                <w:bCs/>
                <w:szCs w:val="21"/>
                <w:lang w:eastAsia="zh-CN"/>
              </w:rPr>
            </w:pPr>
            <w:r>
              <w:rPr>
                <w:rFonts w:hint="eastAsia" w:ascii="宋体" w:hAnsi="宋体" w:cs="宋体"/>
                <w:b/>
                <w:bCs/>
                <w:szCs w:val="21"/>
              </w:rPr>
              <w:t>付款方式：</w:t>
            </w:r>
            <w:r>
              <w:rPr>
                <w:rFonts w:hint="eastAsia" w:ascii="宋体" w:hAnsi="宋体" w:cs="宋体"/>
                <w:b/>
                <w:bCs/>
                <w:szCs w:val="21"/>
                <w:lang w:val="en-US" w:eastAsia="zh-CN"/>
              </w:rPr>
              <w:t>签订合同后，付至合同金额的 100％； 中标后签订合同前，需将中标金额的 2.5％作为履约保证金汇入医院指定账户，服务期满后无质量问题一次性退还，不计利息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500" w:lineRule="exact"/>
              <w:jc w:val="center"/>
              <w:rPr>
                <w:rFonts w:hint="eastAsia" w:ascii="宋体" w:hAnsi="宋体" w:eastAsia="微软雅黑" w:cs="宋体"/>
                <w:b/>
                <w:bCs/>
                <w:szCs w:val="21"/>
                <w:lang w:eastAsia="zh-CN"/>
              </w:rPr>
            </w:pPr>
            <w:r>
              <w:rPr>
                <w:rFonts w:hint="eastAsia" w:ascii="宋体" w:hAnsi="宋体" w:cs="宋体"/>
                <w:b/>
                <w:bCs/>
                <w:szCs w:val="21"/>
                <w:lang w:val="en-US" w:eastAsia="zh-CN"/>
              </w:rPr>
              <w:t>4</w:t>
            </w:r>
          </w:p>
        </w:tc>
        <w:tc>
          <w:tcPr>
            <w:tcW w:w="1701" w:type="dxa"/>
            <w:vAlign w:val="center"/>
          </w:tcPr>
          <w:p>
            <w:pPr>
              <w:spacing w:line="500" w:lineRule="exact"/>
              <w:jc w:val="center"/>
              <w:rPr>
                <w:rFonts w:ascii="宋体" w:hAnsi="宋体" w:cs="宋体"/>
                <w:b/>
                <w:bCs/>
                <w:szCs w:val="21"/>
              </w:rPr>
            </w:pPr>
            <w:r>
              <w:rPr>
                <w:rFonts w:hint="eastAsia" w:ascii="宋体" w:hAnsi="宋体" w:cs="宋体"/>
                <w:b/>
                <w:bCs/>
                <w:szCs w:val="21"/>
              </w:rPr>
              <w:t>履约保证金</w:t>
            </w:r>
          </w:p>
        </w:tc>
        <w:tc>
          <w:tcPr>
            <w:tcW w:w="6294" w:type="dxa"/>
            <w:vAlign w:val="center"/>
          </w:tcPr>
          <w:p>
            <w:pPr>
              <w:spacing w:line="500" w:lineRule="exact"/>
              <w:rPr>
                <w:rFonts w:ascii="宋体" w:hAnsi="宋体" w:cs="宋体"/>
                <w:b/>
                <w:bCs/>
                <w:szCs w:val="21"/>
              </w:rPr>
            </w:pPr>
            <w:r>
              <w:rPr>
                <w:rFonts w:hint="eastAsia" w:ascii="宋体" w:hAnsi="宋体"/>
                <w:b/>
                <w:szCs w:val="21"/>
              </w:rPr>
              <w:t>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592AB"/>
    <w:multiLevelType w:val="singleLevel"/>
    <w:tmpl w:val="11C592AB"/>
    <w:lvl w:ilvl="0" w:tentative="0">
      <w:start w:val="1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23E69"/>
    <w:rsid w:val="30C87168"/>
    <w:rsid w:val="32716FC7"/>
    <w:rsid w:val="33E44E6B"/>
    <w:rsid w:val="597C5AF6"/>
    <w:rsid w:val="59824C2F"/>
    <w:rsid w:val="65111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widowControl w:val="0"/>
      <w:adjustRightInd/>
      <w:snapToGrid/>
      <w:spacing w:before="340" w:after="330" w:line="578"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6">
    <w:name w:val="H1"/>
    <w:basedOn w:val="3"/>
    <w:next w:val="1"/>
    <w:qFormat/>
    <w:uiPriority w:val="0"/>
    <w:pPr>
      <w:widowControl w:val="0"/>
      <w:adjustRightInd/>
      <w:snapToGrid/>
      <w:spacing w:before="0" w:after="0" w:line="600" w:lineRule="exact"/>
      <w:jc w:val="center"/>
    </w:pPr>
    <w:rPr>
      <w:rFonts w:ascii="宋体" w:hAnsi="宋体" w:eastAsia="黑体" w:cs="Times New Roman"/>
      <w:color w:val="000000"/>
      <w:kern w:val="2"/>
      <w:szCs w:val="21"/>
    </w:rPr>
  </w:style>
  <w:style w:type="paragraph" w:customStyle="1" w:styleId="7">
    <w:name w:val="正文_0_0"/>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1336</Words>
  <Characters>1369</Characters>
  <Lines>0</Lines>
  <Paragraphs>0</Paragraphs>
  <TotalTime>4</TotalTime>
  <ScaleCrop>false</ScaleCrop>
  <LinksUpToDate>false</LinksUpToDate>
  <CharactersWithSpaces>1384</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2026-04-01T06:57:00Z</cp:lastPrinted>
  <dcterms:modified xsi:type="dcterms:W3CDTF">2026-04-01T08:58:02Z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KSOTemplateDocerSaveRecord">
    <vt:lpwstr>eyJoZGlkIjoiOTc3M2Y5NzIzMDFlZjAyY2Q4Njk5ODkyYjFjNzBiNTQiLCJ1c2VySWQiOiIxMTUzNzEyMTQ1In0=</vt:lpwstr>
  </property>
  <property fmtid="{D5CDD505-2E9C-101B-9397-08002B2CF9AE}" pid="4" name="ICV">
    <vt:lpwstr>8AE42F1D0B364ED3824BA7F4B86E9874_12</vt:lpwstr>
  </property>
</Properties>
</file>