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overflowPunct w:val="0"/>
        <w:topLinePunct/>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黄山市中医医院</w:t>
      </w:r>
      <w:r>
        <w:rPr>
          <w:rFonts w:hint="eastAsia" w:ascii="方正小标宋简体" w:hAnsi="方正小标宋简体" w:eastAsia="方正小标宋简体" w:cs="方正小标宋简体"/>
          <w:sz w:val="36"/>
          <w:szCs w:val="36"/>
          <w:lang w:val="en-US" w:eastAsia="zh-CN"/>
        </w:rPr>
        <w:t>动态血压仪采购需求</w:t>
      </w:r>
    </w:p>
    <w:p>
      <w:pPr>
        <w:rPr>
          <w:rFonts w:hint="eastAsia"/>
          <w:lang w:val="en-US" w:eastAsia="zh-CN"/>
        </w:rPr>
      </w:pPr>
    </w:p>
    <w:p>
      <w:pPr>
        <w:pStyle w:val="2"/>
        <w:keepNext w:val="0"/>
        <w:numPr>
          <w:ilvl w:val="0"/>
          <w:numId w:val="1"/>
        </w:numPr>
        <w:overflowPunct w:val="0"/>
        <w:topLinePunct/>
        <w:spacing w:line="520" w:lineRule="exact"/>
        <w:rPr>
          <w:rFonts w:hint="eastAsia" w:ascii="GWZT-EN" w:hAnsiTheme="minorEastAsia" w:eastAsiaTheme="minorEastAsia" w:cstheme="minorEastAsia"/>
          <w:b/>
          <w:bCs/>
          <w:sz w:val="32"/>
          <w:szCs w:val="32"/>
        </w:rPr>
      </w:pPr>
      <w:r>
        <w:rPr>
          <w:rFonts w:hint="eastAsia" w:ascii="GWZT-EN" w:hAnsiTheme="minorEastAsia" w:eastAsiaTheme="minorEastAsia" w:cstheme="minorEastAsia"/>
          <w:b/>
          <w:bCs/>
          <w:sz w:val="32"/>
          <w:szCs w:val="32"/>
        </w:rPr>
        <w:t>采购清单及技术要求</w:t>
      </w:r>
      <w:r>
        <w:rPr>
          <w:rFonts w:hint="eastAsia" w:hAnsiTheme="minorEastAsia" w:eastAsiaTheme="minorEastAsia" w:cstheme="minorEastAsia"/>
          <w:b/>
          <w:bCs/>
          <w:sz w:val="32"/>
          <w:szCs w:val="32"/>
          <w:lang w:val="en-US" w:eastAsia="zh-CN"/>
        </w:rPr>
        <w:t xml:space="preserve">  </w:t>
      </w:r>
      <w:r>
        <w:rPr>
          <w:rFonts w:hint="eastAsia" w:ascii="仿宋" w:hAnsi="仿宋" w:eastAsia="仿宋" w:cs="Times New Roman"/>
          <w:kern w:val="0"/>
          <w:sz w:val="30"/>
          <w:szCs w:val="30"/>
          <w:lang w:val="en-US" w:eastAsia="zh-CN" w:bidi="ar-SA"/>
        </w:rPr>
        <w:t>动态血压仪2套   4.16万</w:t>
      </w:r>
    </w:p>
    <w:p>
      <w:pPr>
        <w:rPr>
          <w:rFonts w:hint="eastAsia"/>
        </w:rPr>
      </w:pPr>
    </w:p>
    <w:tbl>
      <w:tblPr>
        <w:tblStyle w:val="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28"/>
        <w:gridCol w:w="61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800"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val="0"/>
                <w:color w:val="000000"/>
                <w:sz w:val="28"/>
                <w:szCs w:val="28"/>
              </w:rPr>
            </w:pPr>
            <w:r>
              <w:rPr>
                <w:rFonts w:hint="eastAsia" w:asciiTheme="minorEastAsia" w:hAnsiTheme="minorEastAsia" w:eastAsiaTheme="minorEastAsia" w:cstheme="minorEastAsia"/>
                <w:b w:val="0"/>
                <w:bCs w:val="0"/>
                <w:color w:val="000000"/>
                <w:sz w:val="28"/>
                <w:szCs w:val="28"/>
              </w:rPr>
              <w:t>采购</w:t>
            </w:r>
          </w:p>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val="0"/>
                <w:color w:val="000000"/>
                <w:sz w:val="28"/>
                <w:szCs w:val="28"/>
              </w:rPr>
            </w:pPr>
            <w:r>
              <w:rPr>
                <w:rFonts w:hint="eastAsia" w:asciiTheme="minorEastAsia" w:hAnsiTheme="minorEastAsia" w:eastAsiaTheme="minorEastAsia" w:cstheme="minorEastAsia"/>
                <w:b w:val="0"/>
                <w:bCs w:val="0"/>
                <w:color w:val="000000"/>
                <w:sz w:val="28"/>
                <w:szCs w:val="28"/>
              </w:rPr>
              <w:t>品目</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val="0"/>
                <w:color w:val="000000"/>
                <w:sz w:val="28"/>
                <w:szCs w:val="28"/>
              </w:rPr>
            </w:pPr>
            <w:r>
              <w:rPr>
                <w:rFonts w:hint="eastAsia" w:asciiTheme="minorEastAsia" w:hAnsiTheme="minorEastAsia" w:eastAsiaTheme="minorEastAsia" w:cstheme="minorEastAsia"/>
                <w:b w:val="0"/>
                <w:bCs w:val="0"/>
                <w:color w:val="000000"/>
                <w:sz w:val="28"/>
                <w:szCs w:val="28"/>
              </w:rPr>
              <w:t>采购数量</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val="0"/>
                <w:color w:val="000000"/>
                <w:sz w:val="28"/>
                <w:szCs w:val="28"/>
              </w:rPr>
            </w:pPr>
            <w:r>
              <w:rPr>
                <w:rFonts w:hint="eastAsia" w:asciiTheme="minorEastAsia" w:hAnsiTheme="minorEastAsia" w:eastAsiaTheme="minorEastAsia" w:cstheme="minorEastAsia"/>
                <w:b w:val="0"/>
                <w:bCs w:val="0"/>
                <w:color w:val="000000"/>
                <w:sz w:val="28"/>
                <w:szCs w:val="28"/>
              </w:rPr>
              <w:t>详细参数及性能要求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val="0"/>
                <w:color w:val="000000"/>
                <w:sz w:val="28"/>
                <w:szCs w:val="28"/>
              </w:rPr>
            </w:pPr>
            <w:r>
              <w:rPr>
                <w:rFonts w:hint="eastAsia" w:asciiTheme="minorEastAsia" w:hAnsiTheme="minorEastAsia" w:eastAsiaTheme="minorEastAsia" w:cstheme="minorEastAsia"/>
                <w:b w:val="0"/>
                <w:bCs w:val="0"/>
                <w:color w:val="00000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shd w:val="clear" w:color="auto" w:fill="FFFFFF"/>
              </w:rPr>
            </w:pP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shd w:val="clear" w:color="auto" w:fill="FFFFFF"/>
              </w:rPr>
            </w:pP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bCs/>
                <w:color w:val="000000"/>
                <w:sz w:val="24"/>
                <w:szCs w:val="24"/>
              </w:rPr>
            </w:pP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bCs/>
                <w:color w:val="000000"/>
                <w:sz w:val="24"/>
                <w:szCs w:val="24"/>
              </w:rPr>
            </w:pP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动态血压仪</w:t>
            </w:r>
          </w:p>
        </w:tc>
        <w:tc>
          <w:tcPr>
            <w:tcW w:w="928"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 xml:space="preserve"> </w:t>
            </w: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rPr>
            </w:pP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rPr>
            </w:pP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rPr>
            </w:pP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rPr>
            </w:pP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lang w:val="en-US" w:eastAsia="zh-CN"/>
              </w:rPr>
              <w:t xml:space="preserve">动态血压仪  2套 </w:t>
            </w:r>
            <w:r>
              <w:rPr>
                <w:rFonts w:hint="eastAsia" w:asciiTheme="minorEastAsia" w:hAnsiTheme="minorEastAsia" w:eastAsiaTheme="minorEastAsia" w:cstheme="minorEastAsia"/>
                <w:b w:val="0"/>
                <w:color w:val="000000"/>
                <w:sz w:val="24"/>
                <w:szCs w:val="24"/>
              </w:rPr>
              <w:t xml:space="preserve">   </w:t>
            </w:r>
          </w:p>
        </w:tc>
        <w:tc>
          <w:tcPr>
            <w:tcW w:w="6120"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val="0"/>
              <w:topLinePunct/>
              <w:autoSpaceDE/>
              <w:autoSpaceDN/>
              <w:bidi w:val="0"/>
              <w:adjustRightInd w:val="0"/>
              <w:snapToGrid/>
              <w:spacing w:line="460" w:lineRule="exact"/>
              <w:textAlignment w:val="auto"/>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rPr>
              <w:t>一、基本要求</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sz w:val="24"/>
                <w:szCs w:val="24"/>
                <w:lang w:val="en-US" w:eastAsia="zh-CN"/>
              </w:rPr>
              <w:t>需提供相关证明材料或承诺函，格式自拟</w:t>
            </w:r>
            <w:r>
              <w:rPr>
                <w:rFonts w:hint="eastAsia" w:asciiTheme="minorEastAsia" w:hAnsiTheme="minorEastAsia" w:eastAsiaTheme="minorEastAsia" w:cstheme="minorEastAsia"/>
                <w:b/>
                <w:bCs/>
                <w:color w:val="000000"/>
                <w:sz w:val="24"/>
                <w:szCs w:val="24"/>
                <w:lang w:eastAsia="zh-CN"/>
              </w:rPr>
              <w:t>）</w:t>
            </w:r>
          </w:p>
          <w:p>
            <w:pPr>
              <w:pStyle w:val="4"/>
              <w:keepNext w:val="0"/>
              <w:keepLines w:val="0"/>
              <w:pageBreakBefore w:val="0"/>
              <w:numPr>
                <w:ilvl w:val="0"/>
                <w:numId w:val="0"/>
              </w:numPr>
              <w:kinsoku/>
              <w:wordWrap/>
              <w:overflowPunct w:val="0"/>
              <w:topLinePunct/>
              <w:bidi w:val="0"/>
              <w:snapToGrid/>
              <w:spacing w:line="460" w:lineRule="exact"/>
              <w:jc w:val="both"/>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1、投标人所投设备不得减配漏配，产品须为合法企业生产，符合国家相关质量标准。</w:t>
            </w:r>
          </w:p>
          <w:p>
            <w:pPr>
              <w:pStyle w:val="4"/>
              <w:keepNext w:val="0"/>
              <w:keepLines w:val="0"/>
              <w:pageBreakBefore w:val="0"/>
              <w:numPr>
                <w:ilvl w:val="0"/>
                <w:numId w:val="0"/>
              </w:numPr>
              <w:kinsoku/>
              <w:wordWrap/>
              <w:overflowPunct w:val="0"/>
              <w:topLinePunct/>
              <w:bidi w:val="0"/>
              <w:snapToGrid/>
              <w:spacing w:line="460" w:lineRule="exact"/>
              <w:jc w:val="both"/>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2、投标人投标时必须提供产品彩页或照片以及产品说明、具体的规格型号。乙方在供货期内保证所提供的产品合格率100%，如出现不符合招标文件要求的产品，无条件退货。</w:t>
            </w:r>
          </w:p>
          <w:p>
            <w:pPr>
              <w:pStyle w:val="4"/>
              <w:keepNext w:val="0"/>
              <w:keepLines w:val="0"/>
              <w:pageBreakBefore w:val="0"/>
              <w:numPr>
                <w:ilvl w:val="0"/>
                <w:numId w:val="0"/>
              </w:numPr>
              <w:kinsoku/>
              <w:wordWrap/>
              <w:overflowPunct w:val="0"/>
              <w:topLinePunct/>
              <w:bidi w:val="0"/>
              <w:snapToGrid/>
              <w:spacing w:line="460" w:lineRule="exact"/>
              <w:jc w:val="both"/>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3、所投设备无上限开放系统设置密码和终身软件免费升级；设备投标报价包括为完成本项目及质保期内等全部费用，如投标人所投产品须配套其他必要的货物方可正常使用的，投标人须为本项目配备，如与医院系统端口连接等，涉及开放接口的,采购人负责协调接口开放,费用包含在报价中，采购人后期不再追加任何费用，请投标人谨慎报价。</w:t>
            </w:r>
          </w:p>
          <w:p>
            <w:pPr>
              <w:pStyle w:val="4"/>
              <w:keepNext w:val="0"/>
              <w:keepLines w:val="0"/>
              <w:pageBreakBefore w:val="0"/>
              <w:numPr>
                <w:ilvl w:val="0"/>
                <w:numId w:val="0"/>
              </w:numPr>
              <w:kinsoku/>
              <w:wordWrap/>
              <w:overflowPunct w:val="0"/>
              <w:topLinePunct/>
              <w:bidi w:val="0"/>
              <w:snapToGrid/>
              <w:spacing w:line="460" w:lineRule="exact"/>
              <w:jc w:val="both"/>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4、厂家或销售方提供专业技术人员对使用方进行设备操作和保养方面的培训；</w:t>
            </w:r>
          </w:p>
          <w:p>
            <w:pPr>
              <w:pStyle w:val="4"/>
              <w:keepNext w:val="0"/>
              <w:keepLines w:val="0"/>
              <w:pageBreakBefore w:val="0"/>
              <w:numPr>
                <w:ilvl w:val="0"/>
                <w:numId w:val="0"/>
              </w:numPr>
              <w:kinsoku/>
              <w:wordWrap/>
              <w:overflowPunct w:val="0"/>
              <w:topLinePunct/>
              <w:bidi w:val="0"/>
              <w:snapToGrid/>
              <w:spacing w:line="460" w:lineRule="exact"/>
              <w:jc w:val="both"/>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5、设备故障不能当场处理时，厂家或销售方应免费提供备用样机供使用方临时使用；</w:t>
            </w:r>
          </w:p>
          <w:p>
            <w:pPr>
              <w:pStyle w:val="4"/>
              <w:keepNext w:val="0"/>
              <w:keepLines w:val="0"/>
              <w:pageBreakBefore w:val="0"/>
              <w:numPr>
                <w:ilvl w:val="0"/>
                <w:numId w:val="0"/>
              </w:numPr>
              <w:kinsoku/>
              <w:wordWrap/>
              <w:overflowPunct w:val="0"/>
              <w:topLinePunct/>
              <w:bidi w:val="0"/>
              <w:snapToGrid/>
              <w:spacing w:line="460" w:lineRule="exact"/>
              <w:jc w:val="both"/>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6、售后服务 维修人员在24小时内到达最终用户现场实施维修。单次停机时间不得超过一周，否则作相应的补偿。列出设备相关的主要常备维修配件清单，标明品牌、型号、产地等并分项报价，质保期内免费维修，质保期外零配件按市场最低价供应，设备停产后仍保证八年的供应；</w:t>
            </w: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7、验收过程若发现提供机型实际参数与招标文件不符或提供机型在验收过程中不能满足实际参数需求的，作退货处理，造成的所有损失由供货方承担。</w:t>
            </w:r>
          </w:p>
          <w:p>
            <w:pPr>
              <w:pStyle w:val="4"/>
              <w:keepNext w:val="0"/>
              <w:keepLines w:val="0"/>
              <w:pageBreakBefore w:val="0"/>
              <w:numPr>
                <w:ilvl w:val="0"/>
                <w:numId w:val="0"/>
              </w:numPr>
              <w:kinsoku/>
              <w:wordWrap/>
              <w:overflowPunct w:val="0"/>
              <w:topLinePunct/>
              <w:bidi w:val="0"/>
              <w:snapToGrid/>
              <w:spacing w:line="460" w:lineRule="exact"/>
              <w:jc w:val="both"/>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8、及时提供设备新功能信息和临床应用的资料；</w:t>
            </w:r>
          </w:p>
          <w:p>
            <w:pPr>
              <w:pStyle w:val="4"/>
              <w:keepNext w:val="0"/>
              <w:keepLines w:val="0"/>
              <w:pageBreakBefore w:val="0"/>
              <w:numPr>
                <w:ilvl w:val="0"/>
                <w:numId w:val="0"/>
              </w:numPr>
              <w:kinsoku/>
              <w:wordWrap/>
              <w:overflowPunct w:val="0"/>
              <w:topLinePunct/>
              <w:bidi w:val="0"/>
              <w:snapToGrid/>
              <w:spacing w:line="460" w:lineRule="exact"/>
              <w:jc w:val="both"/>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9、项目由中标供应商安装，安装过程中涉及到对房屋破坏和恢复由中标人负责。</w:t>
            </w:r>
          </w:p>
          <w:p>
            <w:pPr>
              <w:pStyle w:val="4"/>
              <w:keepNext w:val="0"/>
              <w:keepLines w:val="0"/>
              <w:pageBreakBefore w:val="0"/>
              <w:numPr>
                <w:ilvl w:val="0"/>
                <w:numId w:val="0"/>
              </w:numPr>
              <w:kinsoku/>
              <w:wordWrap/>
              <w:overflowPunct w:val="0"/>
              <w:topLinePunct/>
              <w:bidi w:val="0"/>
              <w:snapToGrid/>
              <w:spacing w:line="460" w:lineRule="exact"/>
              <w:jc w:val="both"/>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10、产品中标后，中标方必须提供产品的中文使用说明书、维护手册（维修手册、故障代码表）、易损零部件及备件清单、维修密码，操作规程（包含WORD电子版）等，厂家提供规范的操作维护培训；</w:t>
            </w:r>
          </w:p>
          <w:p>
            <w:pPr>
              <w:pStyle w:val="4"/>
              <w:keepNext w:val="0"/>
              <w:keepLines w:val="0"/>
              <w:pageBreakBefore w:val="0"/>
              <w:numPr>
                <w:ilvl w:val="0"/>
                <w:numId w:val="0"/>
              </w:numPr>
              <w:kinsoku/>
              <w:wordWrap/>
              <w:overflowPunct w:val="0"/>
              <w:topLinePunct/>
              <w:bidi w:val="0"/>
              <w:snapToGrid/>
              <w:spacing w:line="460" w:lineRule="exact"/>
              <w:jc w:val="both"/>
              <w:textAlignment w:val="auto"/>
              <w:rPr>
                <w:rFonts w:hint="eastAsia" w:asciiTheme="minorEastAsia" w:hAnsiTheme="minorEastAsia" w:eastAsiaTheme="minorEastAsia" w:cstheme="minorEastAsia"/>
                <w:b w:val="0"/>
                <w:color w:val="000000"/>
                <w:spacing w:val="-6"/>
                <w:kern w:val="2"/>
                <w:sz w:val="24"/>
                <w:szCs w:val="24"/>
                <w:lang w:val="en-US" w:eastAsia="zh-CN" w:bidi="ar-SA"/>
              </w:rPr>
            </w:pPr>
            <w:r>
              <w:rPr>
                <w:rFonts w:hint="eastAsia" w:asciiTheme="minorEastAsia" w:hAnsiTheme="minorEastAsia" w:eastAsiaTheme="minorEastAsia" w:cstheme="minorEastAsia"/>
                <w:b w:val="0"/>
                <w:color w:val="000000"/>
                <w:spacing w:val="-6"/>
                <w:kern w:val="2"/>
                <w:sz w:val="24"/>
                <w:szCs w:val="24"/>
                <w:lang w:val="en-US" w:eastAsia="zh-CN" w:bidi="ar-SA"/>
              </w:rPr>
              <w:t>11、保修期内，每年免费提供≥1 次维护保养；负责仪器设备的维修保养以及配套控制软件的更新与维护；维护保养记录须向招标人报备，以使设备始终处于良好的性能状态。（报价时须考虑此项费用）。</w:t>
            </w:r>
          </w:p>
          <w:p>
            <w:pPr>
              <w:keepNext w:val="0"/>
              <w:keepLines w:val="0"/>
              <w:pageBreakBefore w:val="0"/>
              <w:widowControl w:val="0"/>
              <w:kinsoku/>
              <w:wordWrap/>
              <w:overflowPunct w:val="0"/>
              <w:topLinePunct/>
              <w:autoSpaceDE/>
              <w:autoSpaceDN/>
              <w:bidi w:val="0"/>
              <w:adjustRightInd w:val="0"/>
              <w:snapToGrid/>
              <w:spacing w:line="460" w:lineRule="exact"/>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二、参数要求</w:t>
            </w:r>
            <w:bookmarkStart w:id="0" w:name="_GoBack"/>
            <w:bookmarkEnd w:id="0"/>
            <w:r>
              <w:rPr>
                <w:rFonts w:hint="eastAsia" w:asciiTheme="minorEastAsia" w:hAnsiTheme="minorEastAsia" w:eastAsiaTheme="minorEastAsia" w:cstheme="minorEastAsia"/>
                <w:b/>
                <w:bCs/>
                <w:color w:val="000000"/>
                <w:sz w:val="24"/>
                <w:szCs w:val="24"/>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一</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动态心电血压分析系统技术参数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1、系统架构：系统支持 B/S 和 C/S 两种架构方式；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2、权限管理：采用平台化设计理念，可以通过组织管理配置实现不同用户级别的权限管理；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3、原始数据远程传输：支持动态心电、动态血压等检查原始数据远程传输；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4、信息集成：系统与医院的 HIS、PACS 对接，实现病人信息动获取；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5、网络化平台功能：可接入医院各处的动态心电、动态血压相关设备；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6、动态血压分析系统提供数据表图、趋势图、血压数据统计图表、柱状图、圆饼图，每小时平均血压，血压速率乘积以及收缩压和舒张压，心率相关图（离散图）；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7、提供白大衣高血压自动分析功能，采用特殊颜色表示白大衣高血压分析时间段；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8、血压分析系统可以设置收缩压、舒张压、夜间血压、背景、血压阈值等图表颜色；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9、血压分析系统提供血压比较分析功能。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10、血压分析系统提供脉搏波形记录分析技术，支持分析软件显示每组血压测量结果的脉搏波形并可以对测量数据进行确认和二次编辑修正；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11、血压分析系统提供 24-72 小时的趋势图分析技术；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12、血压分析系统提供儿童动态血压分析功能，根据儿童的年龄、身高、体重、性别等特征自动切换儿童血压的参考标准；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13、动态血压数据可读入动态心电报告中，形成动态血压及动态心电二合一数据报告；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14、血压分析系统支持记录 5 种体位信息分析：卧位、站位、静止、轻微运动、剧烈运动。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15、血压分析系统提供晨峰血压分析功能；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bidi="ar"/>
              </w:rPr>
              <w:t>16、血压分析系统提供清晨血压分析功能。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二</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动态血压监测仪记录器技术参数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1、测量原理：逐步放气示波震荡法；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2、体位记录及运动状态追踪：内置三维加速传感器，测量时带体位信息记录与动态追踪分析功能；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color w:val="000000"/>
                <w:kern w:val="0"/>
                <w:sz w:val="24"/>
                <w:szCs w:val="24"/>
                <w:lang w:val="en-US" w:eastAsia="zh-CN" w:bidi="ar"/>
              </w:rPr>
            </w:pPr>
            <w:r>
              <w:rPr>
                <w:rStyle w:val="12"/>
                <w:rFonts w:hint="eastAsia" w:asciiTheme="minorEastAsia" w:hAnsiTheme="minorEastAsia" w:eastAsiaTheme="minorEastAsia" w:cstheme="minorEastAsia"/>
                <w:b/>
                <w:color w:val="FF0000"/>
                <w:kern w:val="2"/>
                <w:sz w:val="24"/>
                <w:szCs w:val="24"/>
              </w:rPr>
              <w:t>★</w:t>
            </w:r>
            <w:r>
              <w:rPr>
                <w:rFonts w:hint="eastAsia" w:asciiTheme="minorEastAsia" w:hAnsiTheme="minorEastAsia" w:eastAsiaTheme="minorEastAsia" w:cstheme="minorEastAsia"/>
                <w:color w:val="000000"/>
                <w:kern w:val="0"/>
                <w:sz w:val="24"/>
                <w:szCs w:val="24"/>
                <w:lang w:val="en-US" w:eastAsia="zh-CN" w:bidi="ar"/>
              </w:rPr>
              <w:t>3、测量精度: ±3mmHg；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right="0"/>
              <w:jc w:val="left"/>
              <w:textAlignment w:val="auto"/>
              <w:rPr>
                <w:rFonts w:hint="eastAsia" w:asciiTheme="minorEastAsia" w:hAnsiTheme="minorEastAsia" w:eastAsiaTheme="minorEastAsia" w:cstheme="minorEastAsia"/>
                <w:color w:val="000000"/>
                <w:kern w:val="0"/>
                <w:sz w:val="24"/>
                <w:szCs w:val="24"/>
                <w:lang w:val="en-US" w:eastAsia="zh-CN" w:bidi="ar"/>
              </w:rPr>
            </w:pPr>
            <w:r>
              <w:rPr>
                <w:rStyle w:val="12"/>
                <w:rFonts w:hint="eastAsia" w:asciiTheme="minorEastAsia" w:hAnsiTheme="minorEastAsia" w:eastAsiaTheme="minorEastAsia" w:cstheme="minorEastAsia"/>
                <w:b/>
                <w:color w:val="FF0000"/>
                <w:kern w:val="2"/>
                <w:sz w:val="24"/>
                <w:szCs w:val="24"/>
              </w:rPr>
              <w:t>★</w:t>
            </w:r>
            <w:r>
              <w:rPr>
                <w:rFonts w:hint="eastAsia" w:asciiTheme="minorEastAsia" w:hAnsiTheme="minorEastAsia" w:eastAsiaTheme="minorEastAsia" w:cstheme="minorEastAsia"/>
                <w:color w:val="000000"/>
                <w:kern w:val="0"/>
                <w:sz w:val="24"/>
                <w:szCs w:val="24"/>
                <w:lang w:val="en-US" w:eastAsia="zh-CN" w:bidi="ar"/>
              </w:rPr>
              <w:t>4、测量范围：收缩压：60-260mmHg，舒张压：20-200mmHg，心率：40-200bpm；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right="0"/>
              <w:jc w:val="left"/>
              <w:textAlignment w:val="auto"/>
              <w:rPr>
                <w:rFonts w:hint="eastAsia" w:asciiTheme="minorEastAsia" w:hAnsiTheme="minorEastAsia" w:eastAsiaTheme="minorEastAsia" w:cstheme="minorEastAsia"/>
                <w:color w:val="000000"/>
                <w:kern w:val="0"/>
                <w:sz w:val="24"/>
                <w:szCs w:val="24"/>
                <w:lang w:val="en-US" w:eastAsia="zh-CN" w:bidi="ar"/>
              </w:rPr>
            </w:pPr>
            <w:r>
              <w:rPr>
                <w:rStyle w:val="12"/>
                <w:rFonts w:hint="eastAsia" w:asciiTheme="minorEastAsia" w:hAnsiTheme="minorEastAsia" w:eastAsiaTheme="minorEastAsia" w:cstheme="minorEastAsia"/>
                <w:b/>
                <w:color w:val="FF0000"/>
                <w:kern w:val="2"/>
                <w:sz w:val="24"/>
                <w:szCs w:val="24"/>
              </w:rPr>
              <w:t>★</w:t>
            </w:r>
            <w:r>
              <w:rPr>
                <w:rFonts w:hint="eastAsia" w:asciiTheme="minorEastAsia" w:hAnsiTheme="minorEastAsia" w:eastAsiaTheme="minorEastAsia" w:cstheme="minorEastAsia"/>
                <w:color w:val="000000"/>
                <w:kern w:val="0"/>
                <w:sz w:val="24"/>
                <w:szCs w:val="24"/>
                <w:lang w:val="en-US" w:eastAsia="zh-CN" w:bidi="ar"/>
              </w:rPr>
              <w:t>5、测量间隔：5、10、15、20、30、60、120 分钟等多种时间间隔选择；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6、液晶显示屏同屏显示收缩压、舒张压、心率和电池电量；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7、数据传输方式：USB 通讯；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8、供电方式：2 节 5 号电池，可记录长达 72 小时；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9、数据存储：300 组，存储内容包含血压数据、体位与运动状态、脉搏波原始图形；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right="0"/>
              <w:jc w:val="left"/>
              <w:textAlignment w:val="auto"/>
              <w:rPr>
                <w:rFonts w:hint="eastAsia" w:asciiTheme="minorEastAsia" w:hAnsiTheme="minorEastAsia" w:eastAsiaTheme="minorEastAsia" w:cstheme="minorEastAsia"/>
                <w:color w:val="000000"/>
                <w:kern w:val="0"/>
                <w:sz w:val="24"/>
                <w:szCs w:val="24"/>
                <w:lang w:val="en-US" w:eastAsia="zh-CN" w:bidi="ar"/>
              </w:rPr>
            </w:pPr>
            <w:r>
              <w:rPr>
                <w:rStyle w:val="12"/>
                <w:rFonts w:hint="eastAsia" w:asciiTheme="minorEastAsia" w:hAnsiTheme="minorEastAsia" w:eastAsiaTheme="minorEastAsia" w:cstheme="minorEastAsia"/>
                <w:b/>
                <w:color w:val="FF0000"/>
                <w:kern w:val="2"/>
                <w:sz w:val="24"/>
                <w:szCs w:val="24"/>
              </w:rPr>
              <w:t>★</w:t>
            </w:r>
            <w:r>
              <w:rPr>
                <w:rFonts w:hint="eastAsia" w:asciiTheme="minorEastAsia" w:hAnsiTheme="minorEastAsia" w:eastAsiaTheme="minorEastAsia" w:cstheme="minorEastAsia"/>
                <w:color w:val="000000"/>
                <w:kern w:val="0"/>
                <w:sz w:val="24"/>
                <w:szCs w:val="24"/>
                <w:lang w:val="en-US" w:eastAsia="zh-CN" w:bidi="ar"/>
              </w:rPr>
              <w:t>10、体积小，重量轻，不超过 160 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11、记录仪支持记录 5 种体位信息与动态状态记录：卧位、站位、静止、轻微运动、剧烈运动。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12、记录仪具有脉搏波原始波形的记录，支持分析软件显示每组血压测量结果的脉搏波形并可以对测量数据进行确认和重编辑修正。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13、提供最大充气压设置。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14、血压测量结果异常警报功能。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bidi w:val="0"/>
              <w:snapToGrid/>
              <w:spacing w:before="0" w:beforeAutospacing="0" w:after="0" w:afterAutospacing="0" w:line="460" w:lineRule="exact"/>
              <w:ind w:left="0" w:right="0" w:firstLine="228" w:firstLineChars="100"/>
              <w:jc w:val="left"/>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15、电池剩余电量提供可视化管理。</w:t>
            </w:r>
          </w:p>
          <w:p>
            <w:pPr>
              <w:keepNext w:val="0"/>
              <w:keepLines w:val="0"/>
              <w:pageBreakBefore w:val="0"/>
              <w:widowControl w:val="0"/>
              <w:kinsoku/>
              <w:wordWrap/>
              <w:overflowPunct w:val="0"/>
              <w:topLinePunct/>
              <w:autoSpaceDE/>
              <w:autoSpaceDN/>
              <w:bidi w:val="0"/>
              <w:adjustRightInd w:val="0"/>
              <w:snapToGrid/>
              <w:spacing w:line="460" w:lineRule="exact"/>
              <w:ind w:left="458" w:hanging="458" w:hangingChars="2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三、质保期≥5年，终身维护（需提供承诺函，格式自拟）。如设备涉及耗材，请分别报价。</w:t>
            </w:r>
          </w:p>
          <w:p>
            <w:pPr>
              <w:keepNext w:val="0"/>
              <w:keepLines w:val="0"/>
              <w:pageBreakBefore w:val="0"/>
              <w:widowControl w:val="0"/>
              <w:kinsoku/>
              <w:wordWrap/>
              <w:overflowPunct w:val="0"/>
              <w:topLinePunct/>
              <w:autoSpaceDE/>
              <w:autoSpaceDN/>
              <w:bidi w:val="0"/>
              <w:adjustRightInd w:val="0"/>
              <w:snapToGrid/>
              <w:spacing w:line="460" w:lineRule="exact"/>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四、要求提供的证明材料包括：</w:t>
            </w:r>
          </w:p>
          <w:p>
            <w:pPr>
              <w:keepNext w:val="0"/>
              <w:keepLines w:val="0"/>
              <w:pageBreakBefore w:val="0"/>
              <w:widowControl w:val="0"/>
              <w:kinsoku/>
              <w:wordWrap/>
              <w:overflowPunct w:val="0"/>
              <w:topLinePunct/>
              <w:autoSpaceDE/>
              <w:autoSpaceDN/>
              <w:bidi w:val="0"/>
              <w:adjustRightInd w:val="0"/>
              <w:snapToGrid/>
              <w:spacing w:line="4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1、产品宣传彩页（中文版原件，标注有技术参数）；</w:t>
            </w:r>
          </w:p>
          <w:p>
            <w:pPr>
              <w:keepNext w:val="0"/>
              <w:keepLines w:val="0"/>
              <w:pageBreakBefore w:val="0"/>
              <w:widowControl w:val="0"/>
              <w:kinsoku/>
              <w:wordWrap/>
              <w:overflowPunct w:val="0"/>
              <w:topLinePunct/>
              <w:autoSpaceDE/>
              <w:autoSpaceDN/>
              <w:bidi w:val="0"/>
              <w:adjustRightInd w:val="0"/>
              <w:snapToGrid/>
              <w:spacing w:line="4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2、产品白皮书（中文版）；</w:t>
            </w:r>
          </w:p>
          <w:p>
            <w:pPr>
              <w:keepNext w:val="0"/>
              <w:keepLines w:val="0"/>
              <w:pageBreakBefore w:val="0"/>
              <w:widowControl w:val="0"/>
              <w:kinsoku/>
              <w:wordWrap/>
              <w:overflowPunct w:val="0"/>
              <w:topLinePunct/>
              <w:autoSpaceDE/>
              <w:autoSpaceDN/>
              <w:bidi w:val="0"/>
              <w:adjustRightInd w:val="0"/>
              <w:snapToGrid/>
              <w:spacing w:line="4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3、产品使用说明书（中文版）；</w:t>
            </w:r>
          </w:p>
          <w:p>
            <w:pPr>
              <w:keepNext w:val="0"/>
              <w:keepLines w:val="0"/>
              <w:pageBreakBefore w:val="0"/>
              <w:widowControl w:val="0"/>
              <w:kinsoku/>
              <w:wordWrap/>
              <w:overflowPunct w:val="0"/>
              <w:topLinePunct/>
              <w:autoSpaceDE/>
              <w:autoSpaceDN/>
              <w:bidi w:val="0"/>
              <w:adjustRightInd w:val="0"/>
              <w:snapToGrid/>
              <w:spacing w:line="4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4、产品检测报告；</w:t>
            </w:r>
          </w:p>
          <w:p>
            <w:pPr>
              <w:keepNext w:val="0"/>
              <w:keepLines w:val="0"/>
              <w:pageBreakBefore w:val="0"/>
              <w:widowControl w:val="0"/>
              <w:kinsoku/>
              <w:wordWrap/>
              <w:overflowPunct w:val="0"/>
              <w:topLinePunct/>
              <w:autoSpaceDE/>
              <w:autoSpaceDN/>
              <w:bidi w:val="0"/>
              <w:adjustRightInd w:val="0"/>
              <w:snapToGrid/>
              <w:spacing w:line="4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 xml:space="preserve">5、产品注册证 ； </w:t>
            </w:r>
          </w:p>
          <w:p>
            <w:pPr>
              <w:keepNext w:val="0"/>
              <w:keepLines w:val="0"/>
              <w:pageBreakBefore w:val="0"/>
              <w:widowControl w:val="0"/>
              <w:kinsoku/>
              <w:wordWrap/>
              <w:overflowPunct w:val="0"/>
              <w:topLinePunct/>
              <w:autoSpaceDE/>
              <w:autoSpaceDN/>
              <w:bidi w:val="0"/>
              <w:adjustRightInd w:val="0"/>
              <w:snapToGrid/>
              <w:spacing w:line="4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6、其它证明材料</w:t>
            </w:r>
          </w:p>
          <w:p>
            <w:pPr>
              <w:keepNext w:val="0"/>
              <w:keepLines w:val="0"/>
              <w:pageBreakBefore w:val="0"/>
              <w:widowControl w:val="0"/>
              <w:kinsoku/>
              <w:wordWrap/>
              <w:overflowPunct w:val="0"/>
              <w:topLinePunct/>
              <w:autoSpaceDE/>
              <w:autoSpaceDN/>
              <w:bidi w:val="0"/>
              <w:adjustRightInd w:val="0"/>
              <w:snapToGrid/>
              <w:spacing w:line="460" w:lineRule="exact"/>
              <w:ind w:firstLine="458"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以上六种，需加盖公章，投标人可任意提供其中一种或者几种，但是必须要能证明所投产品的技术指标与标书要求的一致性或者差异，如果有差异，需要在技术参数偏离表中标注清楚。</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rPr>
            </w:pPr>
          </w:p>
          <w:p>
            <w:pPr>
              <w:keepNext w:val="0"/>
              <w:keepLines w:val="0"/>
              <w:pageBreakBefore w:val="0"/>
              <w:kinsoku/>
              <w:wordWrap/>
              <w:overflowPunct w:val="0"/>
              <w:topLinePunct/>
              <w:bidi w:val="0"/>
              <w:snapToGrid/>
              <w:spacing w:line="460" w:lineRule="exact"/>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 xml:space="preserve">        </w:t>
            </w:r>
          </w:p>
        </w:tc>
      </w:tr>
    </w:tbl>
    <w:p>
      <w:pPr>
        <w:pStyle w:val="11"/>
        <w:keepNext w:val="0"/>
        <w:keepLines w:val="0"/>
        <w:pageBreakBefore w:val="0"/>
        <w:kinsoku/>
        <w:wordWrap/>
        <w:overflowPunct w:val="0"/>
        <w:topLinePunct/>
        <w:bidi w:val="0"/>
        <w:snapToGrid/>
        <w:spacing w:line="460" w:lineRule="exact"/>
        <w:jc w:val="left"/>
        <w:textAlignment w:val="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FF0000"/>
          <w:sz w:val="24"/>
          <w:szCs w:val="24"/>
        </w:rPr>
        <w:t>注：</w:t>
      </w:r>
    </w:p>
    <w:p>
      <w:pPr>
        <w:pStyle w:val="11"/>
        <w:keepNext w:val="0"/>
        <w:keepLines w:val="0"/>
        <w:pageBreakBefore w:val="0"/>
        <w:widowControl w:val="0"/>
        <w:kinsoku/>
        <w:wordWrap/>
        <w:overflowPunct w:val="0"/>
        <w:topLinePunct/>
        <w:autoSpaceDE/>
        <w:autoSpaceDN/>
        <w:bidi w:val="0"/>
        <w:snapToGrid/>
        <w:spacing w:line="460" w:lineRule="exact"/>
        <w:ind w:left="956" w:leftChars="154" w:hanging="482" w:hangingChars="200"/>
        <w:jc w:val="left"/>
        <w:textAlignment w:val="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FF0000"/>
          <w:sz w:val="24"/>
          <w:szCs w:val="24"/>
        </w:rPr>
        <w:t>1、</w:t>
      </w:r>
      <w:r>
        <w:rPr>
          <w:rStyle w:val="12"/>
          <w:rFonts w:hint="eastAsia" w:asciiTheme="minorEastAsia" w:hAnsiTheme="minorEastAsia" w:eastAsiaTheme="minorEastAsia" w:cstheme="minorEastAsia"/>
          <w:b/>
          <w:color w:val="FF0000"/>
          <w:sz w:val="24"/>
          <w:szCs w:val="24"/>
        </w:rPr>
        <w:t>基本要求必须全部满足要求、否则按无效标处理；</w:t>
      </w:r>
      <w:r>
        <w:rPr>
          <w:rStyle w:val="12"/>
          <w:rFonts w:hint="eastAsia" w:asciiTheme="minorEastAsia" w:hAnsiTheme="minorEastAsia" w:eastAsiaTheme="minorEastAsia" w:cstheme="minorEastAsia"/>
          <w:b/>
          <w:color w:val="FF0000"/>
          <w:kern w:val="2"/>
          <w:sz w:val="24"/>
          <w:szCs w:val="24"/>
        </w:rPr>
        <w:t>★</w:t>
      </w:r>
      <w:r>
        <w:rPr>
          <w:rStyle w:val="12"/>
          <w:rFonts w:hint="eastAsia" w:asciiTheme="minorEastAsia" w:hAnsiTheme="minorEastAsia" w:eastAsiaTheme="minorEastAsia" w:cstheme="minorEastAsia"/>
          <w:b/>
          <w:color w:val="FF0000"/>
          <w:sz w:val="24"/>
          <w:szCs w:val="24"/>
        </w:rPr>
        <w:t>项目</w:t>
      </w:r>
      <w:r>
        <w:rPr>
          <w:rFonts w:hint="eastAsia" w:asciiTheme="minorEastAsia" w:hAnsiTheme="minorEastAsia" w:eastAsiaTheme="minorEastAsia" w:cstheme="minorEastAsia"/>
          <w:b/>
          <w:color w:val="FF0000"/>
          <w:sz w:val="24"/>
          <w:szCs w:val="24"/>
        </w:rPr>
        <w:t>必需全部响应</w:t>
      </w:r>
      <w:r>
        <w:rPr>
          <w:rFonts w:hint="eastAsia" w:asciiTheme="minorEastAsia" w:hAnsiTheme="minorEastAsia" w:eastAsiaTheme="minorEastAsia" w:cstheme="minorEastAsia"/>
          <w:b/>
          <w:color w:val="FF0000"/>
          <w:sz w:val="24"/>
          <w:szCs w:val="24"/>
          <w:lang w:eastAsia="zh-CN"/>
        </w:rPr>
        <w:t>，</w:t>
      </w:r>
      <w:r>
        <w:rPr>
          <w:rFonts w:hint="eastAsia" w:asciiTheme="minorEastAsia" w:hAnsiTheme="minorEastAsia" w:eastAsiaTheme="minorEastAsia" w:cstheme="minorEastAsia"/>
          <w:b/>
          <w:color w:val="FF0000"/>
          <w:sz w:val="24"/>
          <w:szCs w:val="24"/>
          <w:lang w:val="en-US" w:eastAsia="zh-CN"/>
        </w:rPr>
        <w:t>非</w:t>
      </w:r>
      <w:r>
        <w:rPr>
          <w:rStyle w:val="12"/>
          <w:rFonts w:hint="eastAsia" w:asciiTheme="minorEastAsia" w:hAnsiTheme="minorEastAsia" w:eastAsiaTheme="minorEastAsia" w:cstheme="minorEastAsia"/>
          <w:b/>
          <w:color w:val="FF0000"/>
          <w:kern w:val="2"/>
          <w:sz w:val="24"/>
          <w:szCs w:val="24"/>
        </w:rPr>
        <w:t>★</w:t>
      </w:r>
      <w:r>
        <w:rPr>
          <w:rStyle w:val="12"/>
          <w:rFonts w:hint="eastAsia" w:asciiTheme="minorEastAsia" w:hAnsiTheme="minorEastAsia" w:eastAsiaTheme="minorEastAsia" w:cstheme="minorEastAsia"/>
          <w:b/>
          <w:color w:val="FF0000"/>
          <w:kern w:val="2"/>
          <w:sz w:val="24"/>
          <w:szCs w:val="24"/>
          <w:lang w:val="en-US" w:eastAsia="zh-CN"/>
        </w:rPr>
        <w:t>项负偏离≤2项</w:t>
      </w:r>
      <w:r>
        <w:rPr>
          <w:rFonts w:hint="eastAsia" w:asciiTheme="minorEastAsia" w:hAnsiTheme="minorEastAsia" w:eastAsiaTheme="minorEastAsia" w:cstheme="minorEastAsia"/>
          <w:b/>
          <w:color w:val="FF0000"/>
          <w:sz w:val="24"/>
          <w:szCs w:val="24"/>
        </w:rPr>
        <w:t>，否则按无效标处理；</w:t>
      </w:r>
    </w:p>
    <w:p>
      <w:pPr>
        <w:keepNext w:val="0"/>
        <w:keepLines w:val="0"/>
        <w:pageBreakBefore w:val="0"/>
        <w:widowControl w:val="0"/>
        <w:kinsoku/>
        <w:wordWrap/>
        <w:overflowPunct w:val="0"/>
        <w:topLinePunct/>
        <w:autoSpaceDE/>
        <w:autoSpaceDN/>
        <w:bidi w:val="0"/>
        <w:snapToGrid/>
        <w:spacing w:line="460" w:lineRule="exact"/>
        <w:ind w:left="932" w:leftChars="154" w:hanging="458" w:hangingChars="200"/>
        <w:textAlignment w:val="auto"/>
        <w:rPr>
          <w:rStyle w:val="12"/>
          <w:rFonts w:hint="eastAsia" w:asciiTheme="minorEastAsia" w:hAnsiTheme="minorEastAsia" w:eastAsiaTheme="minorEastAsia" w:cstheme="minorEastAsia"/>
          <w:b/>
          <w:color w:val="FF0000"/>
          <w:kern w:val="2"/>
          <w:sz w:val="24"/>
          <w:szCs w:val="24"/>
        </w:rPr>
      </w:pPr>
      <w:r>
        <w:rPr>
          <w:rStyle w:val="12"/>
          <w:rFonts w:hint="eastAsia" w:asciiTheme="minorEastAsia" w:hAnsiTheme="minorEastAsia" w:eastAsiaTheme="minorEastAsia" w:cstheme="minorEastAsia"/>
          <w:b/>
          <w:color w:val="FF0000"/>
          <w:kern w:val="2"/>
          <w:sz w:val="24"/>
          <w:szCs w:val="24"/>
        </w:rPr>
        <w:t>2、投标人应对招标文件中的技术指标逐条进行响应，在技术规范响应表中必须正面回答产品所有技术指标的响应情况。标记“★”、的重要技术参数，需附证明材料、标明所在页码，并在证明材料中标识清楚（划线或画圈），否则，评标委员会有权视其不响应；</w:t>
      </w:r>
    </w:p>
    <w:p>
      <w:pPr>
        <w:keepNext w:val="0"/>
        <w:keepLines w:val="0"/>
        <w:pageBreakBefore w:val="0"/>
        <w:widowControl w:val="0"/>
        <w:kinsoku/>
        <w:wordWrap/>
        <w:overflowPunct w:val="0"/>
        <w:topLinePunct/>
        <w:autoSpaceDE/>
        <w:autoSpaceDN/>
        <w:bidi w:val="0"/>
        <w:snapToGrid/>
        <w:spacing w:line="460" w:lineRule="exact"/>
        <w:ind w:firstLine="458" w:firstLineChars="200"/>
        <w:textAlignment w:val="auto"/>
        <w:rPr>
          <w:rFonts w:hint="eastAsia" w:asciiTheme="minorEastAsia" w:hAnsiTheme="minorEastAsia" w:eastAsiaTheme="minorEastAsia" w:cstheme="minorEastAsia"/>
          <w:b/>
          <w:bCs/>
          <w:sz w:val="28"/>
          <w:szCs w:val="28"/>
        </w:rPr>
      </w:pPr>
      <w:r>
        <w:rPr>
          <w:rStyle w:val="12"/>
          <w:rFonts w:hint="eastAsia" w:asciiTheme="minorEastAsia" w:hAnsiTheme="minorEastAsia" w:eastAsiaTheme="minorEastAsia" w:cstheme="minorEastAsia"/>
          <w:b/>
          <w:color w:val="FF0000"/>
          <w:kern w:val="2"/>
          <w:sz w:val="24"/>
          <w:szCs w:val="24"/>
        </w:rPr>
        <w:t>3、如验收时发现有虚假应标，将上报监管部门。</w:t>
      </w:r>
    </w:p>
    <w:p>
      <w:pPr>
        <w:keepNext w:val="0"/>
        <w:keepLines w:val="0"/>
        <w:pageBreakBefore w:val="0"/>
        <w:kinsoku/>
        <w:wordWrap/>
        <w:overflowPunct w:val="0"/>
        <w:topLinePunct/>
        <w:bidi w:val="0"/>
        <w:snapToGrid/>
        <w:spacing w:line="52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二、商务要求   </w:t>
      </w:r>
    </w:p>
    <w:p>
      <w:pPr>
        <w:keepNext w:val="0"/>
        <w:keepLines w:val="0"/>
        <w:pageBreakBefore w:val="0"/>
        <w:kinsoku/>
        <w:wordWrap/>
        <w:overflowPunct w:val="0"/>
        <w:topLinePunct/>
        <w:bidi w:val="0"/>
        <w:snapToGrid/>
        <w:spacing w:line="52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w:t>
      </w:r>
    </w:p>
    <w:tbl>
      <w:tblPr>
        <w:tblStyle w:val="9"/>
        <w:tblW w:w="870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6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序号</w:t>
            </w:r>
          </w:p>
        </w:tc>
        <w:tc>
          <w:tcPr>
            <w:tcW w:w="1701"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内容</w:t>
            </w:r>
          </w:p>
        </w:tc>
        <w:tc>
          <w:tcPr>
            <w:tcW w:w="6294"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p>
        </w:tc>
        <w:tc>
          <w:tcPr>
            <w:tcW w:w="1701"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合同签订地点</w:t>
            </w:r>
          </w:p>
        </w:tc>
        <w:tc>
          <w:tcPr>
            <w:tcW w:w="6294" w:type="dxa"/>
            <w:vAlign w:val="center"/>
          </w:tcPr>
          <w:p>
            <w:pPr>
              <w:keepNext w:val="0"/>
              <w:keepLines w:val="0"/>
              <w:pageBreakBefore w:val="0"/>
              <w:kinsoku/>
              <w:wordWrap/>
              <w:overflowPunct w:val="0"/>
              <w:topLinePunct/>
              <w:bidi w:val="0"/>
              <w:snapToGrid/>
              <w:spacing w:line="5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rPr>
              <w:t>黄山市屯溪区</w:t>
            </w:r>
            <w:r>
              <w:rPr>
                <w:rFonts w:hint="eastAsia" w:asciiTheme="minorEastAsia" w:hAnsiTheme="minorEastAsia" w:eastAsiaTheme="minorEastAsia" w:cstheme="minorEastAsia"/>
                <w:b w:val="0"/>
                <w:bCs w:val="0"/>
                <w:sz w:val="24"/>
                <w:szCs w:val="24"/>
                <w:lang w:val="en-US" w:eastAsia="zh-CN"/>
              </w:rPr>
              <w:t>黄山市中医医院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p>
        </w:tc>
        <w:tc>
          <w:tcPr>
            <w:tcW w:w="1701"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供货完成时限的期限</w:t>
            </w:r>
          </w:p>
        </w:tc>
        <w:tc>
          <w:tcPr>
            <w:tcW w:w="6294" w:type="dxa"/>
            <w:vAlign w:val="center"/>
          </w:tcPr>
          <w:p>
            <w:pPr>
              <w:keepNext w:val="0"/>
              <w:keepLines w:val="0"/>
              <w:pageBreakBefore w:val="0"/>
              <w:kinsoku/>
              <w:wordWrap/>
              <w:overflowPunct w:val="0"/>
              <w:topLinePunct/>
              <w:bidi w:val="0"/>
              <w:snapToGrid/>
              <w:spacing w:line="5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根据采购人需求供货、安装、验收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p>
        </w:tc>
        <w:tc>
          <w:tcPr>
            <w:tcW w:w="1701"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货物包装运输要求</w:t>
            </w:r>
          </w:p>
        </w:tc>
        <w:tc>
          <w:tcPr>
            <w:tcW w:w="6294" w:type="dxa"/>
            <w:vAlign w:val="center"/>
          </w:tcPr>
          <w:p>
            <w:pPr>
              <w:keepNext w:val="0"/>
              <w:keepLines w:val="0"/>
              <w:pageBreakBefore w:val="0"/>
              <w:widowControl w:val="0"/>
              <w:kinsoku/>
              <w:wordWrap/>
              <w:overflowPunct w:val="0"/>
              <w:topLinePunct/>
              <w:autoSpaceDE/>
              <w:autoSpaceDN/>
              <w:bidi w:val="0"/>
              <w:adjustRightInd w:val="0"/>
              <w:snapToGrid/>
              <w:spacing w:line="52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项目中涉及商品包装和快递包装的，按照安徽省财政厅、安徽省生态环境厅、安徽省邮政管理局《关于转发财政部办公厅生态环境部办公厅国家邮政局办公室关于印发&lt;商品包装政府采购需求标准（试行）&gt;&lt;快递包装政府采购需求标准（试行）&gt;的通知》执行。</w:t>
            </w:r>
          </w:p>
          <w:p>
            <w:pPr>
              <w:keepNext w:val="0"/>
              <w:keepLines w:val="0"/>
              <w:pageBreakBefore w:val="0"/>
              <w:kinsoku/>
              <w:wordWrap/>
              <w:overflowPunct w:val="0"/>
              <w:topLinePunct/>
              <w:bidi w:val="0"/>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lang w:val="en-US" w:eastAsia="zh-CN"/>
              </w:rPr>
              <w:t>除合同另有规定外，成交人提供的全部货物均应按标准保护措施进行包装，涉及木质制品及木制包装材料的（含铺垫、支撑、加固设施设备等），禁止使用和调入松木及其制品。该包装应适应远距离运输、防潮、防震、防锈和防野蛮装卸，确保货物安全无损运抵现场。由于包装不善所引起的货物锈蚀、损坏和损失均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w:t>
            </w:r>
          </w:p>
        </w:tc>
        <w:tc>
          <w:tcPr>
            <w:tcW w:w="1701"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验收</w:t>
            </w:r>
          </w:p>
        </w:tc>
        <w:tc>
          <w:tcPr>
            <w:tcW w:w="6294" w:type="dxa"/>
            <w:vAlign w:val="center"/>
          </w:tcPr>
          <w:p>
            <w:pPr>
              <w:keepNext w:val="0"/>
              <w:keepLines w:val="0"/>
              <w:pageBreakBefore w:val="0"/>
              <w:kinsoku/>
              <w:wordWrap/>
              <w:overflowPunct w:val="0"/>
              <w:topLinePunct/>
              <w:bidi w:val="0"/>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5</w:t>
            </w:r>
          </w:p>
        </w:tc>
        <w:tc>
          <w:tcPr>
            <w:tcW w:w="1701"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付款</w:t>
            </w:r>
          </w:p>
        </w:tc>
        <w:tc>
          <w:tcPr>
            <w:tcW w:w="6294" w:type="dxa"/>
            <w:vAlign w:val="center"/>
          </w:tcPr>
          <w:p>
            <w:pPr>
              <w:keepNext w:val="0"/>
              <w:keepLines w:val="0"/>
              <w:pageBreakBefore w:val="0"/>
              <w:kinsoku/>
              <w:wordWrap/>
              <w:overflowPunct w:val="0"/>
              <w:topLinePunct/>
              <w:bidi w:val="0"/>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付款人：黄山市中医医院</w:t>
            </w:r>
          </w:p>
          <w:p>
            <w:pPr>
              <w:keepNext w:val="0"/>
              <w:keepLines w:val="0"/>
              <w:pageBreakBefore w:val="0"/>
              <w:kinsoku/>
              <w:wordWrap/>
              <w:overflowPunct w:val="0"/>
              <w:topLinePunct/>
              <w:bidi w:val="0"/>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付款方式：</w:t>
            </w:r>
            <w:r>
              <w:rPr>
                <w:rFonts w:hint="eastAsia" w:asciiTheme="minorEastAsia" w:hAnsiTheme="minorEastAsia" w:eastAsiaTheme="minorEastAsia" w:cstheme="minorEastAsia"/>
                <w:sz w:val="24"/>
                <w:szCs w:val="24"/>
                <w:u w:val="none"/>
              </w:rPr>
              <w:t xml:space="preserve">货物到采购人指定地点安装调试完毕并验收合格后，付至合同金额的 100％； 中标后签订合同前，需将中标金额的 </w:t>
            </w:r>
            <w:r>
              <w:rPr>
                <w:rFonts w:hint="eastAsia" w:asciiTheme="minorEastAsia" w:hAnsiTheme="minorEastAsia" w:eastAsiaTheme="minorEastAsia" w:cstheme="minorEastAsia"/>
                <w:sz w:val="24"/>
                <w:szCs w:val="24"/>
                <w:u w:val="none"/>
                <w:lang w:val="en-US" w:eastAsia="zh-CN"/>
              </w:rPr>
              <w:t>2.5</w:t>
            </w:r>
            <w:r>
              <w:rPr>
                <w:rFonts w:hint="eastAsia" w:asciiTheme="minorEastAsia" w:hAnsiTheme="minorEastAsia" w:eastAsiaTheme="minorEastAsia" w:cstheme="minorEastAsia"/>
                <w:sz w:val="24"/>
                <w:szCs w:val="24"/>
                <w:u w:val="none"/>
              </w:rPr>
              <w:t>％作为履约保证金汇入医院指定账户，质保期满后无质量问题一次性退还，不计利息。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p>
        </w:tc>
        <w:tc>
          <w:tcPr>
            <w:tcW w:w="1701" w:type="dxa"/>
            <w:vAlign w:val="center"/>
          </w:tcPr>
          <w:p>
            <w:pPr>
              <w:keepNext w:val="0"/>
              <w:keepLines w:val="0"/>
              <w:pageBreakBefore w:val="0"/>
              <w:kinsoku/>
              <w:wordWrap/>
              <w:overflowPunct w:val="0"/>
              <w:topLinePunct/>
              <w:bidi w:val="0"/>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履约保证金</w:t>
            </w:r>
          </w:p>
        </w:tc>
        <w:tc>
          <w:tcPr>
            <w:tcW w:w="6294" w:type="dxa"/>
            <w:vAlign w:val="center"/>
          </w:tcPr>
          <w:p>
            <w:pPr>
              <w:keepNext w:val="0"/>
              <w:keepLines w:val="0"/>
              <w:pageBreakBefore w:val="0"/>
              <w:kinsoku/>
              <w:wordWrap/>
              <w:overflowPunct w:val="0"/>
              <w:topLinePunct/>
              <w:bidi w:val="0"/>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无</w:t>
            </w:r>
          </w:p>
        </w:tc>
      </w:tr>
    </w:tbl>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091898-FA7F-456A-98E1-A7DE39A3D840}"/>
  </w:font>
  <w:font w:name="GWZT-EN">
    <w:altName w:val="宋体"/>
    <w:panose1 w:val="02020400000000000000"/>
    <w:charset w:val="86"/>
    <w:family w:val="auto"/>
    <w:pitch w:val="default"/>
    <w:sig w:usb0="00000000" w:usb1="00000000" w:usb2="00082016" w:usb3="00000000" w:csb0="00000003" w:csb1="00000000"/>
    <w:embedRegular r:id="rId2" w:fontKey="{ACC81C19-A8A5-4424-91FB-7EA76B5F441D}"/>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3" w:fontKey="{6F0D2047-FAAF-4874-8423-1C96A9549A0B}"/>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4" w:fontKey="{A9D2A8C3-D2FF-4AE1-AB54-7E9227E61AE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D3E746"/>
    <w:multiLevelType w:val="singleLevel"/>
    <w:tmpl w:val="CBD3E7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000000"/>
    <w:rsid w:val="03311390"/>
    <w:rsid w:val="046441B2"/>
    <w:rsid w:val="06B17456"/>
    <w:rsid w:val="09E33DCA"/>
    <w:rsid w:val="0C593E74"/>
    <w:rsid w:val="10C532D4"/>
    <w:rsid w:val="11D82756"/>
    <w:rsid w:val="121D48EB"/>
    <w:rsid w:val="124F7451"/>
    <w:rsid w:val="152C2AC9"/>
    <w:rsid w:val="16C21142"/>
    <w:rsid w:val="1B585156"/>
    <w:rsid w:val="1D11136A"/>
    <w:rsid w:val="1D775062"/>
    <w:rsid w:val="1F1723DE"/>
    <w:rsid w:val="1F9E45C4"/>
    <w:rsid w:val="227F6801"/>
    <w:rsid w:val="22E24929"/>
    <w:rsid w:val="253B5077"/>
    <w:rsid w:val="258E2BE2"/>
    <w:rsid w:val="27445706"/>
    <w:rsid w:val="27A279C5"/>
    <w:rsid w:val="2E6F28D1"/>
    <w:rsid w:val="2FC84D50"/>
    <w:rsid w:val="32BA5FD2"/>
    <w:rsid w:val="3D6D517E"/>
    <w:rsid w:val="3DE22730"/>
    <w:rsid w:val="404D3763"/>
    <w:rsid w:val="407968F4"/>
    <w:rsid w:val="426052B1"/>
    <w:rsid w:val="446E70C1"/>
    <w:rsid w:val="4555276F"/>
    <w:rsid w:val="4B546044"/>
    <w:rsid w:val="4E930520"/>
    <w:rsid w:val="4ED212E5"/>
    <w:rsid w:val="508267A2"/>
    <w:rsid w:val="50DC4D9A"/>
    <w:rsid w:val="53163E96"/>
    <w:rsid w:val="5738605F"/>
    <w:rsid w:val="5777152C"/>
    <w:rsid w:val="598C508E"/>
    <w:rsid w:val="5A6C48DA"/>
    <w:rsid w:val="5ADB3D1F"/>
    <w:rsid w:val="5C007BEC"/>
    <w:rsid w:val="61D9309D"/>
    <w:rsid w:val="631A66BE"/>
    <w:rsid w:val="6636653D"/>
    <w:rsid w:val="66E90B75"/>
    <w:rsid w:val="69EA352F"/>
    <w:rsid w:val="6CE40709"/>
    <w:rsid w:val="6FB212C9"/>
    <w:rsid w:val="70BB2B35"/>
    <w:rsid w:val="71B46118"/>
    <w:rsid w:val="727162DD"/>
    <w:rsid w:val="7637176F"/>
    <w:rsid w:val="78342545"/>
    <w:rsid w:val="7834322A"/>
    <w:rsid w:val="79CA5238"/>
    <w:rsid w:val="7AB1581D"/>
    <w:rsid w:val="7B952448"/>
    <w:rsid w:val="7E93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snapToGrid/>
      <w:jc w:val="both"/>
    </w:pPr>
    <w:rPr>
      <w:rFonts w:ascii="GWZT-EN" w:hAnsi="Tahoma" w:eastAsia="仿宋" w:cs="Times New Roman"/>
      <w:spacing w:val="-6"/>
      <w:kern w:val="2"/>
      <w:sz w:val="32"/>
      <w:szCs w:val="32"/>
      <w:lang w:val="en-US" w:eastAsia="zh-CN" w:bidi="ar-SA"/>
    </w:rPr>
  </w:style>
  <w:style w:type="paragraph" w:styleId="2">
    <w:name w:val="heading 1"/>
    <w:next w:val="1"/>
    <w:qFormat/>
    <w:uiPriority w:val="0"/>
    <w:pPr>
      <w:keepNext w:val="0"/>
      <w:keepLines w:val="0"/>
      <w:widowControl w:val="0"/>
      <w:overflowPunct w:val="0"/>
      <w:topLinePunct/>
      <w:adjustRightInd/>
      <w:snapToGrid/>
      <w:spacing w:line="240" w:lineRule="auto"/>
      <w:jc w:val="both"/>
      <w:outlineLvl w:val="0"/>
    </w:pPr>
    <w:rPr>
      <w:rFonts w:ascii="GWZT-EN" w:hAnsi="Times New Roman" w:eastAsia="黑体" w:cs="Times New Roman"/>
      <w:kern w:val="2"/>
      <w:sz w:val="32"/>
      <w:szCs w:val="32"/>
    </w:rPr>
  </w:style>
  <w:style w:type="paragraph" w:styleId="3">
    <w:name w:val="heading 2"/>
    <w:basedOn w:val="1"/>
    <w:next w:val="1"/>
    <w:semiHidden/>
    <w:unhideWhenUsed/>
    <w:qFormat/>
    <w:uiPriority w:val="9"/>
    <w:pPr>
      <w:keepNext w:val="0"/>
      <w:keepLines w:val="0"/>
      <w:widowControl w:val="0"/>
      <w:overflowPunct w:val="0"/>
      <w:topLinePunct/>
      <w:spacing w:line="240" w:lineRule="auto"/>
      <w:jc w:val="both"/>
      <w:outlineLvl w:val="1"/>
    </w:pPr>
    <w:rPr>
      <w:rFonts w:ascii="GWZT-EN" w:eastAsia="楷体" w:cs="Times New Roman" w:hAnsiTheme="majorHAnsi"/>
      <w:kern w:val="2"/>
      <w:sz w:val="32"/>
      <w:szCs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1"/>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5">
    <w:name w:val="Normal Indent"/>
    <w:basedOn w:val="1"/>
    <w:qFormat/>
    <w:uiPriority w:val="0"/>
    <w:pPr>
      <w:ind w:firstLine="420" w:firstLineChars="200"/>
    </w:pPr>
  </w:style>
  <w:style w:type="paragraph" w:styleId="6">
    <w:name w:val="Body Text"/>
    <w:basedOn w:val="1"/>
    <w:next w:val="7"/>
    <w:qFormat/>
    <w:uiPriority w:val="0"/>
    <w:pPr>
      <w:jc w:val="left"/>
    </w:pPr>
    <w:rPr>
      <w:rFonts w:ascii="Arial" w:hAnsi="Arial" w:eastAsia="黑体"/>
      <w:b/>
      <w:sz w:val="32"/>
    </w:rPr>
  </w:style>
  <w:style w:type="paragraph" w:styleId="7">
    <w:name w:val="Date"/>
    <w:basedOn w:val="1"/>
    <w:next w:val="1"/>
    <w:qFormat/>
    <w:uiPriority w:val="0"/>
    <w:rPr>
      <w:rFonts w:ascii="仿宋_GB2312" w:eastAsia="仿宋_GB2312"/>
      <w:sz w:val="30"/>
      <w:lang w:bidi="he-IL"/>
    </w:rPr>
  </w:style>
  <w:style w:type="paragraph" w:customStyle="1" w:styleId="10">
    <w:name w:val="H1"/>
    <w:basedOn w:val="3"/>
    <w:next w:val="1"/>
    <w:qFormat/>
    <w:uiPriority w:val="0"/>
    <w:pPr>
      <w:widowControl w:val="0"/>
      <w:adjustRightInd/>
      <w:snapToGrid/>
      <w:spacing w:before="0" w:after="0" w:line="600" w:lineRule="exact"/>
      <w:jc w:val="center"/>
    </w:pPr>
    <w:rPr>
      <w:rFonts w:ascii="GWZT-EN" w:hAnsi="宋体" w:eastAsia="黑体" w:cs="Times New Roman"/>
      <w:color w:val="000000"/>
      <w:kern w:val="2"/>
      <w:szCs w:val="21"/>
    </w:rPr>
  </w:style>
  <w:style w:type="paragraph" w:customStyle="1" w:styleId="11">
    <w:name w:val="正文_0_0"/>
    <w:qFormat/>
    <w:uiPriority w:val="0"/>
    <w:pPr>
      <w:widowControl w:val="0"/>
      <w:jc w:val="both"/>
    </w:pPr>
    <w:rPr>
      <w:rFonts w:ascii="GWZT-EN" w:hAnsi="Times New Roman" w:eastAsia="宋体" w:cs="Times New Roman"/>
      <w:kern w:val="2"/>
      <w:sz w:val="21"/>
      <w:lang w:val="en-US" w:eastAsia="zh-CN" w:bidi="ar-SA"/>
    </w:rPr>
  </w:style>
  <w:style w:type="character" w:customStyle="1" w:styleId="12">
    <w:name w:val="NormalCharacter"/>
    <w:semiHidden/>
    <w:qFormat/>
    <w:uiPriority w:val="0"/>
    <w:rPr>
      <w:rFonts w:ascii="GWZT-EN"/>
    </w:rPr>
  </w:style>
  <w:style w:type="paragraph" w:customStyle="1" w:styleId="13">
    <w:name w:val="表格文字"/>
    <w:basedOn w:val="1"/>
    <w:next w:val="6"/>
    <w:qFormat/>
    <w:uiPriority w:val="0"/>
    <w:pPr>
      <w:adjustRightInd w:val="0"/>
      <w:spacing w:line="420" w:lineRule="atLeast"/>
      <w:textAlignment w:val="baseline"/>
    </w:pPr>
    <w:rPr>
      <w:szCs w:val="24"/>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2686</Words>
  <Characters>2773</Characters>
  <Lines>0</Lines>
  <Paragraphs>0</Paragraphs>
  <TotalTime>22</TotalTime>
  <ScaleCrop>false</ScaleCrop>
  <LinksUpToDate>false</LinksUpToDate>
  <CharactersWithSpaces>2833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2026-04-28T03:42:00Z</cp:lastPrinted>
  <dcterms:modified xsi:type="dcterms:W3CDTF">2026-04-29T02:12:37Z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KSOTemplateDocerSaveRecord">
    <vt:lpwstr>eyJoZGlkIjoiOTc3M2Y5NzIzMDFlZjAyY2Q4Njk5ODkyYjFjNzBiNTQiLCJ1c2VySWQiOiIxMTUzNzEyMTQ1In0=</vt:lpwstr>
  </property>
  <property fmtid="{D5CDD505-2E9C-101B-9397-08002B2CF9AE}" pid="4" name="ICV">
    <vt:lpwstr>E61D832B9C9B4BE4B0327137AE2526D6_12</vt:lpwstr>
  </property>
</Properties>
</file>